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A425C" w14:textId="77777777" w:rsidR="00A648BF" w:rsidRPr="006C3B6E" w:rsidRDefault="00A648BF" w:rsidP="00A648BF">
      <w:pPr>
        <w:rPr>
          <w:sz w:val="32"/>
          <w:szCs w:val="32"/>
        </w:rPr>
      </w:pPr>
      <w:bookmarkStart w:id="0" w:name="_GoBack"/>
      <w:bookmarkEnd w:id="0"/>
    </w:p>
    <w:tbl>
      <w:tblPr>
        <w:tblW w:w="0" w:type="auto"/>
        <w:tblLook w:val="01E0" w:firstRow="1" w:lastRow="1" w:firstColumn="1" w:lastColumn="1" w:noHBand="0" w:noVBand="0"/>
      </w:tblPr>
      <w:tblGrid>
        <w:gridCol w:w="9012"/>
        <w:gridCol w:w="14"/>
      </w:tblGrid>
      <w:tr w:rsidR="00A648BF" w:rsidRPr="006C3B6E" w14:paraId="2165804A" w14:textId="77777777" w:rsidTr="001A7770">
        <w:trPr>
          <w:gridAfter w:val="1"/>
          <w:wAfter w:w="14" w:type="dxa"/>
          <w:trHeight w:val="1674"/>
        </w:trPr>
        <w:tc>
          <w:tcPr>
            <w:tcW w:w="9228" w:type="dxa"/>
            <w:shd w:val="clear" w:color="auto" w:fill="auto"/>
          </w:tcPr>
          <w:p w14:paraId="4880A0C8" w14:textId="77777777" w:rsidR="00E61E71" w:rsidRDefault="00E61E71" w:rsidP="00AC1034">
            <w:pPr>
              <w:jc w:val="center"/>
              <w:rPr>
                <w:rFonts w:cs="Arial"/>
                <w:b/>
                <w:sz w:val="24"/>
                <w:szCs w:val="24"/>
              </w:rPr>
            </w:pPr>
            <w:r w:rsidRPr="00E61E71">
              <w:rPr>
                <w:rFonts w:cs="Arial"/>
                <w:b/>
                <w:sz w:val="24"/>
                <w:szCs w:val="24"/>
              </w:rPr>
              <w:t>Repo</w:t>
            </w:r>
            <w:r w:rsidR="0011745E">
              <w:rPr>
                <w:rFonts w:cs="Arial"/>
                <w:b/>
                <w:sz w:val="24"/>
                <w:szCs w:val="24"/>
              </w:rPr>
              <w:t>rt of Housing Repairs and Asset</w:t>
            </w:r>
            <w:r w:rsidRPr="00E61E71">
              <w:rPr>
                <w:rFonts w:cs="Arial"/>
                <w:b/>
                <w:sz w:val="24"/>
                <w:szCs w:val="24"/>
              </w:rPr>
              <w:t xml:space="preserve"> Manager </w:t>
            </w:r>
          </w:p>
          <w:p w14:paraId="09A4FEF0" w14:textId="77777777" w:rsidR="00E61E71" w:rsidRPr="00E61E71" w:rsidRDefault="00E61E71" w:rsidP="00AC1034">
            <w:pPr>
              <w:jc w:val="center"/>
              <w:rPr>
                <w:rFonts w:cs="Arial"/>
                <w:b/>
                <w:sz w:val="24"/>
                <w:szCs w:val="24"/>
              </w:rPr>
            </w:pPr>
          </w:p>
          <w:p w14:paraId="19D4EE58" w14:textId="77777777" w:rsidR="00E61E71" w:rsidRDefault="00E61E71" w:rsidP="00AC1034">
            <w:pPr>
              <w:jc w:val="center"/>
              <w:rPr>
                <w:rFonts w:cs="Arial"/>
                <w:b/>
                <w:sz w:val="24"/>
                <w:szCs w:val="24"/>
              </w:rPr>
            </w:pPr>
            <w:r w:rsidRPr="00E61E71">
              <w:rPr>
                <w:rFonts w:cs="Arial"/>
                <w:b/>
                <w:sz w:val="24"/>
                <w:szCs w:val="24"/>
              </w:rPr>
              <w:t xml:space="preserve">to </w:t>
            </w:r>
          </w:p>
          <w:p w14:paraId="18C85F71" w14:textId="77777777" w:rsidR="00E61E71" w:rsidRPr="00E61E71" w:rsidRDefault="00E61E71" w:rsidP="00AC1034">
            <w:pPr>
              <w:jc w:val="center"/>
              <w:rPr>
                <w:rFonts w:cs="Arial"/>
                <w:b/>
                <w:sz w:val="24"/>
                <w:szCs w:val="24"/>
              </w:rPr>
            </w:pPr>
          </w:p>
          <w:p w14:paraId="5A0231BD" w14:textId="77777777" w:rsidR="00E61E71" w:rsidRDefault="0011745E" w:rsidP="00AC1034">
            <w:pPr>
              <w:jc w:val="center"/>
              <w:rPr>
                <w:rFonts w:cs="Arial"/>
                <w:b/>
                <w:sz w:val="24"/>
                <w:szCs w:val="24"/>
              </w:rPr>
            </w:pPr>
            <w:r>
              <w:rPr>
                <w:rFonts w:cs="Arial"/>
                <w:b/>
                <w:sz w:val="24"/>
                <w:szCs w:val="24"/>
              </w:rPr>
              <w:t xml:space="preserve">Governance and Standards </w:t>
            </w:r>
            <w:r w:rsidR="00BF7F55">
              <w:rPr>
                <w:rFonts w:cs="Arial"/>
                <w:b/>
                <w:sz w:val="24"/>
                <w:szCs w:val="24"/>
              </w:rPr>
              <w:t>Committee</w:t>
            </w:r>
          </w:p>
          <w:p w14:paraId="213B08A3" w14:textId="77777777" w:rsidR="00E61E71" w:rsidRPr="00E61E71" w:rsidRDefault="00E61E71" w:rsidP="00E61E71">
            <w:pPr>
              <w:rPr>
                <w:rFonts w:cs="Arial"/>
                <w:b/>
                <w:sz w:val="24"/>
                <w:szCs w:val="24"/>
              </w:rPr>
            </w:pPr>
          </w:p>
          <w:p w14:paraId="70C71B0C" w14:textId="77777777" w:rsidR="00A648BF" w:rsidRPr="00E61E71" w:rsidRDefault="0011745E" w:rsidP="0011745E">
            <w:pPr>
              <w:jc w:val="center"/>
              <w:rPr>
                <w:rFonts w:ascii="Arial Black" w:hAnsi="Arial Black"/>
                <w:sz w:val="24"/>
                <w:szCs w:val="24"/>
              </w:rPr>
            </w:pPr>
            <w:r>
              <w:rPr>
                <w:rFonts w:cs="Arial"/>
                <w:b/>
                <w:sz w:val="24"/>
                <w:szCs w:val="24"/>
              </w:rPr>
              <w:t>30</w:t>
            </w:r>
            <w:r w:rsidR="00E61E71" w:rsidRPr="00E61E71">
              <w:rPr>
                <w:rFonts w:cs="Arial"/>
                <w:b/>
                <w:sz w:val="24"/>
                <w:szCs w:val="24"/>
                <w:vertAlign w:val="superscript"/>
              </w:rPr>
              <w:t>th</w:t>
            </w:r>
            <w:r w:rsidR="00A648BF" w:rsidRPr="00E61E71">
              <w:rPr>
                <w:rFonts w:cs="Arial"/>
                <w:b/>
                <w:sz w:val="24"/>
                <w:szCs w:val="24"/>
              </w:rPr>
              <w:t xml:space="preserve"> </w:t>
            </w:r>
            <w:r>
              <w:rPr>
                <w:rFonts w:cs="Arial"/>
                <w:b/>
                <w:sz w:val="24"/>
                <w:szCs w:val="24"/>
              </w:rPr>
              <w:t>March</w:t>
            </w:r>
            <w:r w:rsidR="007E1303">
              <w:rPr>
                <w:rFonts w:cs="Arial"/>
                <w:b/>
                <w:sz w:val="24"/>
                <w:szCs w:val="24"/>
              </w:rPr>
              <w:t xml:space="preserve"> 2022</w:t>
            </w:r>
          </w:p>
        </w:tc>
      </w:tr>
      <w:tr w:rsidR="00A648BF" w:rsidRPr="000411DC" w14:paraId="26C9509C" w14:textId="77777777" w:rsidTr="001A7770">
        <w:trPr>
          <w:gridAfter w:val="1"/>
          <w:wAfter w:w="14" w:type="dxa"/>
        </w:trPr>
        <w:tc>
          <w:tcPr>
            <w:tcW w:w="9228" w:type="dxa"/>
            <w:shd w:val="clear" w:color="auto" w:fill="auto"/>
          </w:tcPr>
          <w:p w14:paraId="4DF76422" w14:textId="77777777" w:rsidR="00A648BF" w:rsidRPr="00E61E71" w:rsidRDefault="00A648BF" w:rsidP="006C3B6E">
            <w:pPr>
              <w:rPr>
                <w:rFonts w:ascii="Arial Black" w:hAnsi="Arial Black"/>
                <w:sz w:val="24"/>
                <w:szCs w:val="24"/>
              </w:rPr>
            </w:pPr>
          </w:p>
        </w:tc>
      </w:tr>
      <w:tr w:rsidR="00A648BF" w:rsidRPr="000411DC" w14:paraId="16795527" w14:textId="77777777" w:rsidTr="001A7770">
        <w:tc>
          <w:tcPr>
            <w:tcW w:w="9242" w:type="dxa"/>
            <w:gridSpan w:val="2"/>
            <w:tcBorders>
              <w:top w:val="single" w:sz="24" w:space="0" w:color="auto"/>
              <w:bottom w:val="single" w:sz="24" w:space="0" w:color="auto"/>
            </w:tcBorders>
            <w:shd w:val="clear" w:color="auto" w:fill="auto"/>
          </w:tcPr>
          <w:p w14:paraId="14262580" w14:textId="77777777" w:rsidR="00A648BF" w:rsidRPr="00E61E71" w:rsidRDefault="00633EF3" w:rsidP="00633EF3">
            <w:pPr>
              <w:spacing w:before="240" w:after="240"/>
              <w:jc w:val="center"/>
              <w:rPr>
                <w:rFonts w:cs="Arial"/>
                <w:b/>
                <w:sz w:val="24"/>
                <w:szCs w:val="24"/>
              </w:rPr>
            </w:pPr>
            <w:r>
              <w:rPr>
                <w:rFonts w:cs="Arial"/>
                <w:b/>
                <w:sz w:val="24"/>
                <w:szCs w:val="24"/>
              </w:rPr>
              <w:t>Management of HRA Assets Update</w:t>
            </w:r>
          </w:p>
        </w:tc>
      </w:tr>
    </w:tbl>
    <w:p w14:paraId="47C46EBE" w14:textId="77777777" w:rsidR="00A648BF" w:rsidRPr="00531CC4" w:rsidRDefault="00A648BF" w:rsidP="00A648BF">
      <w:pPr>
        <w:rPr>
          <w:rFonts w:cs="Arial"/>
          <w:sz w:val="24"/>
          <w:szCs w:val="24"/>
        </w:rPr>
      </w:pPr>
    </w:p>
    <w:p w14:paraId="55D943FE" w14:textId="77777777" w:rsidR="00A648BF" w:rsidRPr="00531CC4" w:rsidRDefault="00A648BF" w:rsidP="00B20B95">
      <w:pPr>
        <w:rPr>
          <w:b/>
          <w:sz w:val="24"/>
          <w:szCs w:val="24"/>
        </w:rPr>
      </w:pPr>
    </w:p>
    <w:p w14:paraId="0B12405E" w14:textId="77777777" w:rsidR="00A648BF" w:rsidRPr="00B20B95" w:rsidRDefault="00B20B95" w:rsidP="00B20B95">
      <w:pPr>
        <w:rPr>
          <w:sz w:val="24"/>
          <w:szCs w:val="24"/>
        </w:rPr>
      </w:pPr>
      <w:r>
        <w:rPr>
          <w:b/>
          <w:sz w:val="24"/>
          <w:szCs w:val="24"/>
        </w:rPr>
        <w:t>1</w:t>
      </w:r>
      <w:r>
        <w:rPr>
          <w:b/>
          <w:sz w:val="24"/>
          <w:szCs w:val="24"/>
        </w:rPr>
        <w:tab/>
      </w:r>
      <w:r w:rsidR="00A648BF" w:rsidRPr="00B20B95">
        <w:rPr>
          <w:b/>
          <w:sz w:val="24"/>
          <w:szCs w:val="24"/>
        </w:rPr>
        <w:t>SUMMARY</w:t>
      </w:r>
    </w:p>
    <w:p w14:paraId="563C0880" w14:textId="77777777" w:rsidR="00A648BF" w:rsidRPr="00E10F3C" w:rsidRDefault="00A648BF" w:rsidP="00B20B95">
      <w:pPr>
        <w:rPr>
          <w:sz w:val="24"/>
          <w:szCs w:val="24"/>
        </w:rPr>
      </w:pPr>
    </w:p>
    <w:p w14:paraId="581EF2BC" w14:textId="0E22A56B" w:rsidR="00A648BF" w:rsidRPr="00385A2B" w:rsidRDefault="00A648BF" w:rsidP="00385A2B">
      <w:pPr>
        <w:pStyle w:val="ListParagraph"/>
        <w:numPr>
          <w:ilvl w:val="1"/>
          <w:numId w:val="10"/>
        </w:numPr>
        <w:rPr>
          <w:sz w:val="24"/>
          <w:szCs w:val="24"/>
        </w:rPr>
      </w:pPr>
      <w:r w:rsidRPr="00385A2B">
        <w:rPr>
          <w:sz w:val="24"/>
          <w:szCs w:val="24"/>
        </w:rPr>
        <w:t>T</w:t>
      </w:r>
      <w:r w:rsidR="00E61E71" w:rsidRPr="00385A2B">
        <w:rPr>
          <w:sz w:val="24"/>
          <w:szCs w:val="24"/>
        </w:rPr>
        <w:t xml:space="preserve">his </w:t>
      </w:r>
      <w:r w:rsidR="00CF21AD">
        <w:rPr>
          <w:sz w:val="24"/>
          <w:szCs w:val="24"/>
        </w:rPr>
        <w:t>report</w:t>
      </w:r>
      <w:r w:rsidR="00CF21AD" w:rsidRPr="00385A2B">
        <w:rPr>
          <w:sz w:val="24"/>
          <w:szCs w:val="24"/>
        </w:rPr>
        <w:t xml:space="preserve"> </w:t>
      </w:r>
      <w:r w:rsidR="00E61E71" w:rsidRPr="00385A2B">
        <w:rPr>
          <w:sz w:val="24"/>
          <w:szCs w:val="24"/>
        </w:rPr>
        <w:t>provides an update</w:t>
      </w:r>
      <w:r w:rsidRPr="00385A2B">
        <w:rPr>
          <w:sz w:val="24"/>
          <w:szCs w:val="24"/>
        </w:rPr>
        <w:t xml:space="preserve"> on the various compliance programmes</w:t>
      </w:r>
      <w:r w:rsidR="004861FD" w:rsidRPr="00385A2B">
        <w:rPr>
          <w:sz w:val="24"/>
          <w:szCs w:val="24"/>
        </w:rPr>
        <w:t xml:space="preserve"> overseen by the Housing Repairs service</w:t>
      </w:r>
      <w:r w:rsidR="00E909C8" w:rsidRPr="00385A2B">
        <w:rPr>
          <w:sz w:val="24"/>
          <w:szCs w:val="24"/>
        </w:rPr>
        <w:t xml:space="preserve"> against the council’s</w:t>
      </w:r>
      <w:r w:rsidR="00633EF3" w:rsidRPr="00385A2B">
        <w:rPr>
          <w:sz w:val="24"/>
          <w:szCs w:val="24"/>
        </w:rPr>
        <w:t xml:space="preserve"> risk and opportunities strategy and specifically the action relating to the management of H</w:t>
      </w:r>
      <w:r w:rsidR="005431AB">
        <w:rPr>
          <w:sz w:val="24"/>
          <w:szCs w:val="24"/>
        </w:rPr>
        <w:t xml:space="preserve">ousing </w:t>
      </w:r>
      <w:r w:rsidR="00633EF3" w:rsidRPr="00385A2B">
        <w:rPr>
          <w:sz w:val="24"/>
          <w:szCs w:val="24"/>
        </w:rPr>
        <w:t>R</w:t>
      </w:r>
      <w:r w:rsidR="005431AB">
        <w:rPr>
          <w:sz w:val="24"/>
          <w:szCs w:val="24"/>
        </w:rPr>
        <w:t xml:space="preserve">evenue </w:t>
      </w:r>
      <w:r w:rsidR="00633EF3" w:rsidRPr="00385A2B">
        <w:rPr>
          <w:sz w:val="24"/>
          <w:szCs w:val="24"/>
        </w:rPr>
        <w:t>A</w:t>
      </w:r>
      <w:r w:rsidR="005431AB">
        <w:rPr>
          <w:sz w:val="24"/>
          <w:szCs w:val="24"/>
        </w:rPr>
        <w:t>ccounts</w:t>
      </w:r>
      <w:r w:rsidR="00633EF3" w:rsidRPr="00385A2B">
        <w:rPr>
          <w:sz w:val="24"/>
          <w:szCs w:val="24"/>
        </w:rPr>
        <w:t xml:space="preserve"> assets</w:t>
      </w:r>
      <w:r w:rsidR="005431AB">
        <w:rPr>
          <w:sz w:val="24"/>
          <w:szCs w:val="24"/>
        </w:rPr>
        <w:t>.</w:t>
      </w:r>
    </w:p>
    <w:p w14:paraId="36530724" w14:textId="77777777" w:rsidR="00CF21AD" w:rsidRDefault="00CF21AD" w:rsidP="00385A2B">
      <w:pPr>
        <w:pStyle w:val="ListParagraph"/>
        <w:rPr>
          <w:sz w:val="24"/>
          <w:szCs w:val="24"/>
        </w:rPr>
      </w:pPr>
    </w:p>
    <w:p w14:paraId="2A45B8AF" w14:textId="77777777" w:rsidR="00CF21AD" w:rsidRDefault="00CF21AD" w:rsidP="00CF21AD">
      <w:pPr>
        <w:pStyle w:val="Heading4"/>
        <w:ind w:right="-270"/>
        <w:jc w:val="both"/>
        <w:rPr>
          <w:rFonts w:ascii="Arial" w:hAnsi="Arial" w:cs="Arial"/>
          <w:b/>
          <w:szCs w:val="24"/>
        </w:rPr>
      </w:pPr>
      <w:r>
        <w:rPr>
          <w:rFonts w:ascii="Arial" w:hAnsi="Arial" w:cs="Arial"/>
          <w:b/>
          <w:szCs w:val="24"/>
          <w:u w:val="none"/>
        </w:rPr>
        <w:t>2</w:t>
      </w:r>
      <w:r>
        <w:rPr>
          <w:rFonts w:ascii="Arial" w:hAnsi="Arial" w:cs="Arial"/>
          <w:b/>
          <w:szCs w:val="24"/>
          <w:u w:val="none"/>
        </w:rPr>
        <w:tab/>
        <w:t>RECOMMENDATION</w:t>
      </w:r>
    </w:p>
    <w:p w14:paraId="4FCAEBCA" w14:textId="77777777" w:rsidR="00CF21AD" w:rsidRDefault="00CF21AD" w:rsidP="00CF21AD">
      <w:pPr>
        <w:ind w:right="-270"/>
        <w:rPr>
          <w:rFonts w:cs="Arial"/>
          <w:sz w:val="24"/>
          <w:szCs w:val="24"/>
        </w:rPr>
      </w:pPr>
    </w:p>
    <w:p w14:paraId="36C47289" w14:textId="77777777" w:rsidR="00CF21AD" w:rsidRDefault="00CF21AD" w:rsidP="00CF21AD">
      <w:pPr>
        <w:pStyle w:val="BodyTextIndent"/>
        <w:numPr>
          <w:ilvl w:val="0"/>
          <w:numId w:val="11"/>
        </w:numPr>
        <w:ind w:left="709" w:right="-270" w:hanging="709"/>
        <w:rPr>
          <w:rFonts w:ascii="Arial" w:hAnsi="Arial" w:cs="Arial"/>
          <w:szCs w:val="24"/>
        </w:rPr>
      </w:pPr>
      <w:r>
        <w:rPr>
          <w:rFonts w:ascii="Arial" w:hAnsi="Arial" w:cs="Arial"/>
          <w:szCs w:val="24"/>
        </w:rPr>
        <w:t xml:space="preserve">That the content of this report </w:t>
      </w:r>
      <w:r w:rsidR="00B64E75">
        <w:rPr>
          <w:rFonts w:ascii="Arial" w:hAnsi="Arial" w:cs="Arial"/>
          <w:szCs w:val="24"/>
        </w:rPr>
        <w:t xml:space="preserve">detailing the various compliance programmes ongoing in respect of the </w:t>
      </w:r>
      <w:r w:rsidR="005431AB">
        <w:rPr>
          <w:rFonts w:ascii="Arial" w:hAnsi="Arial" w:cs="Arial"/>
          <w:szCs w:val="24"/>
        </w:rPr>
        <w:t xml:space="preserve">management of HRA assets </w:t>
      </w:r>
      <w:r>
        <w:rPr>
          <w:rFonts w:ascii="Arial" w:hAnsi="Arial" w:cs="Arial"/>
          <w:szCs w:val="24"/>
        </w:rPr>
        <w:t>be noted.</w:t>
      </w:r>
    </w:p>
    <w:p w14:paraId="296AB68E" w14:textId="77777777" w:rsidR="00CF21AD" w:rsidRPr="00385A2B" w:rsidRDefault="00CF21AD" w:rsidP="00385A2B">
      <w:pPr>
        <w:pStyle w:val="ListParagraph"/>
        <w:rPr>
          <w:sz w:val="24"/>
          <w:szCs w:val="24"/>
        </w:rPr>
      </w:pPr>
    </w:p>
    <w:p w14:paraId="7DEA35AE" w14:textId="77777777" w:rsidR="00A648BF" w:rsidRPr="00E10F3C" w:rsidRDefault="00A648BF" w:rsidP="00B20B95">
      <w:pPr>
        <w:rPr>
          <w:sz w:val="24"/>
          <w:szCs w:val="24"/>
        </w:rPr>
      </w:pPr>
    </w:p>
    <w:p w14:paraId="1D1A5B16" w14:textId="7EB1C71E" w:rsidR="00A648BF" w:rsidRPr="00B20B95" w:rsidRDefault="00E23014" w:rsidP="00B20B95">
      <w:pPr>
        <w:rPr>
          <w:b/>
          <w:sz w:val="24"/>
          <w:szCs w:val="24"/>
        </w:rPr>
      </w:pPr>
      <w:r>
        <w:rPr>
          <w:b/>
          <w:sz w:val="24"/>
          <w:szCs w:val="24"/>
        </w:rPr>
        <w:t>3</w:t>
      </w:r>
      <w:r w:rsidR="00B20B95">
        <w:rPr>
          <w:b/>
          <w:sz w:val="24"/>
          <w:szCs w:val="24"/>
        </w:rPr>
        <w:tab/>
      </w:r>
      <w:r w:rsidR="004861FD" w:rsidRPr="00B20B95">
        <w:rPr>
          <w:b/>
          <w:sz w:val="24"/>
          <w:szCs w:val="24"/>
        </w:rPr>
        <w:t>BACKGROUND</w:t>
      </w:r>
    </w:p>
    <w:p w14:paraId="17250CAC" w14:textId="77777777" w:rsidR="004861FD" w:rsidRDefault="004861FD" w:rsidP="00B20B95">
      <w:pPr>
        <w:rPr>
          <w:i/>
          <w:sz w:val="24"/>
          <w:szCs w:val="24"/>
        </w:rPr>
      </w:pPr>
    </w:p>
    <w:p w14:paraId="0363E660" w14:textId="5CF63F29" w:rsidR="004861FD" w:rsidRPr="00B20B95" w:rsidRDefault="00E23014" w:rsidP="00B20B95">
      <w:pPr>
        <w:ind w:left="720" w:hanging="720"/>
        <w:rPr>
          <w:sz w:val="24"/>
          <w:szCs w:val="24"/>
        </w:rPr>
      </w:pPr>
      <w:r>
        <w:rPr>
          <w:sz w:val="24"/>
          <w:szCs w:val="24"/>
        </w:rPr>
        <w:t>3</w:t>
      </w:r>
      <w:r w:rsidR="00B20B95">
        <w:rPr>
          <w:sz w:val="24"/>
          <w:szCs w:val="24"/>
        </w:rPr>
        <w:t>.1</w:t>
      </w:r>
      <w:r w:rsidR="00B20B95">
        <w:rPr>
          <w:sz w:val="24"/>
          <w:szCs w:val="24"/>
        </w:rPr>
        <w:tab/>
      </w:r>
      <w:r w:rsidR="004861FD" w:rsidRPr="00B20B95">
        <w:rPr>
          <w:sz w:val="24"/>
          <w:szCs w:val="24"/>
        </w:rPr>
        <w:t>The oversight of all matters of compliance across the council’s housing stock rests within the Housing Repairs</w:t>
      </w:r>
      <w:r w:rsidR="00263DF6" w:rsidRPr="00B20B95">
        <w:rPr>
          <w:sz w:val="24"/>
          <w:szCs w:val="24"/>
        </w:rPr>
        <w:t xml:space="preserve"> and Assets</w:t>
      </w:r>
      <w:r w:rsidR="004861FD" w:rsidRPr="00B20B95">
        <w:rPr>
          <w:sz w:val="24"/>
          <w:szCs w:val="24"/>
        </w:rPr>
        <w:t xml:space="preserve"> service in the main with contributions from the ASSIST service and Housing Management service depending upon property type and use. The service recognises the importance of robust regulatory compliance not only to protect its tenants but also to drive future investment decisions.  Compliance includes the ‘big 6’ issues including fire safety, gas, electrics, asbestos, legionella and lifts</w:t>
      </w:r>
      <w:r w:rsidR="008E3BEF" w:rsidRPr="00B20B95">
        <w:rPr>
          <w:sz w:val="24"/>
          <w:szCs w:val="24"/>
        </w:rPr>
        <w:t xml:space="preserve"> and requires the best use of data and having the correct skills in place as </w:t>
      </w:r>
      <w:r w:rsidR="003D1C2F" w:rsidRPr="00B20B95">
        <w:rPr>
          <w:sz w:val="24"/>
          <w:szCs w:val="24"/>
        </w:rPr>
        <w:t xml:space="preserve">an organisation. </w:t>
      </w:r>
    </w:p>
    <w:p w14:paraId="2A8993B8" w14:textId="77777777" w:rsidR="008E3BEF" w:rsidRDefault="008E3BEF" w:rsidP="00B20B95">
      <w:pPr>
        <w:rPr>
          <w:sz w:val="24"/>
          <w:szCs w:val="24"/>
        </w:rPr>
      </w:pPr>
    </w:p>
    <w:p w14:paraId="7AF4BF13" w14:textId="31607278" w:rsidR="008E3BEF" w:rsidRPr="00B20B95" w:rsidRDefault="00E23014" w:rsidP="00B20B95">
      <w:pPr>
        <w:ind w:left="720" w:hanging="720"/>
        <w:rPr>
          <w:sz w:val="24"/>
          <w:szCs w:val="24"/>
        </w:rPr>
      </w:pPr>
      <w:r>
        <w:rPr>
          <w:sz w:val="24"/>
          <w:szCs w:val="24"/>
        </w:rPr>
        <w:t>3</w:t>
      </w:r>
      <w:r w:rsidR="00B20B95">
        <w:rPr>
          <w:sz w:val="24"/>
          <w:szCs w:val="24"/>
        </w:rPr>
        <w:t>.2</w:t>
      </w:r>
      <w:r w:rsidR="00B20B95">
        <w:rPr>
          <w:sz w:val="24"/>
          <w:szCs w:val="24"/>
        </w:rPr>
        <w:tab/>
      </w:r>
      <w:r w:rsidR="0072223C" w:rsidRPr="00B20B95">
        <w:rPr>
          <w:sz w:val="24"/>
          <w:szCs w:val="24"/>
        </w:rPr>
        <w:t xml:space="preserve">In advance of future regulatory changes likely to impact the council’s housing service the resources aligned to </w:t>
      </w:r>
      <w:r w:rsidR="00BF7F55" w:rsidRPr="00B20B95">
        <w:rPr>
          <w:sz w:val="24"/>
          <w:szCs w:val="24"/>
        </w:rPr>
        <w:t>compliance work within Housing have been</w:t>
      </w:r>
      <w:r w:rsidR="0072223C" w:rsidRPr="00B20B95">
        <w:rPr>
          <w:sz w:val="24"/>
          <w:szCs w:val="24"/>
        </w:rPr>
        <w:t xml:space="preserve"> reviewe</w:t>
      </w:r>
      <w:r w:rsidR="00BF7F55" w:rsidRPr="00B20B95">
        <w:rPr>
          <w:sz w:val="24"/>
          <w:szCs w:val="24"/>
        </w:rPr>
        <w:t>d</w:t>
      </w:r>
      <w:r w:rsidR="00095777" w:rsidRPr="00B20B95">
        <w:rPr>
          <w:sz w:val="24"/>
          <w:szCs w:val="24"/>
        </w:rPr>
        <w:t xml:space="preserve"> and methods of monitoring and managing the work updated</w:t>
      </w:r>
      <w:r w:rsidR="00BF7F55" w:rsidRPr="00B20B95">
        <w:rPr>
          <w:sz w:val="24"/>
          <w:szCs w:val="24"/>
        </w:rPr>
        <w:t xml:space="preserve">. </w:t>
      </w:r>
      <w:r w:rsidR="00095777" w:rsidRPr="00B20B95">
        <w:rPr>
          <w:sz w:val="24"/>
          <w:szCs w:val="24"/>
        </w:rPr>
        <w:t>The</w:t>
      </w:r>
      <w:r w:rsidR="00D5402F" w:rsidRPr="00B20B95">
        <w:rPr>
          <w:sz w:val="24"/>
          <w:szCs w:val="24"/>
        </w:rPr>
        <w:t xml:space="preserve"> Compli</w:t>
      </w:r>
      <w:r w:rsidR="00095777" w:rsidRPr="00B20B95">
        <w:rPr>
          <w:sz w:val="24"/>
          <w:szCs w:val="24"/>
        </w:rPr>
        <w:t>ance and Capital works team now</w:t>
      </w:r>
      <w:r w:rsidR="00D5402F" w:rsidRPr="00B20B95">
        <w:rPr>
          <w:sz w:val="24"/>
          <w:szCs w:val="24"/>
        </w:rPr>
        <w:t xml:space="preserve"> consist</w:t>
      </w:r>
      <w:r w:rsidR="00095777" w:rsidRPr="00B20B95">
        <w:rPr>
          <w:sz w:val="24"/>
          <w:szCs w:val="24"/>
        </w:rPr>
        <w:t>s</w:t>
      </w:r>
      <w:r w:rsidR="00D5402F" w:rsidRPr="00B20B95">
        <w:rPr>
          <w:sz w:val="24"/>
          <w:szCs w:val="24"/>
        </w:rPr>
        <w:t xml:space="preserve"> of an Operations Manage</w:t>
      </w:r>
      <w:r w:rsidR="00095777" w:rsidRPr="00B20B95">
        <w:rPr>
          <w:sz w:val="24"/>
          <w:szCs w:val="24"/>
        </w:rPr>
        <w:t>r</w:t>
      </w:r>
      <w:r w:rsidR="0072223C" w:rsidRPr="00B20B95">
        <w:rPr>
          <w:sz w:val="24"/>
          <w:szCs w:val="24"/>
        </w:rPr>
        <w:t xml:space="preserve"> supported by </w:t>
      </w:r>
      <w:r w:rsidR="00D5402F" w:rsidRPr="00B20B95">
        <w:rPr>
          <w:sz w:val="24"/>
          <w:szCs w:val="24"/>
        </w:rPr>
        <w:t xml:space="preserve">a </w:t>
      </w:r>
      <w:r w:rsidR="00633EF3">
        <w:rPr>
          <w:sz w:val="24"/>
          <w:szCs w:val="24"/>
        </w:rPr>
        <w:t>Quantity Surveyor</w:t>
      </w:r>
      <w:r w:rsidR="0072223C" w:rsidRPr="00B20B95">
        <w:rPr>
          <w:sz w:val="24"/>
          <w:szCs w:val="24"/>
        </w:rPr>
        <w:t xml:space="preserve"> and technical roles to assist with contract management, quality and cost control across key capital contracts and asset management responsibilities.</w:t>
      </w:r>
      <w:r w:rsidR="00263DF6" w:rsidRPr="00B20B95">
        <w:rPr>
          <w:sz w:val="24"/>
          <w:szCs w:val="24"/>
        </w:rPr>
        <w:t xml:space="preserve"> </w:t>
      </w:r>
      <w:r w:rsidR="00095777" w:rsidRPr="00B20B95">
        <w:rPr>
          <w:sz w:val="24"/>
          <w:szCs w:val="24"/>
        </w:rPr>
        <w:t>There are currently a number of vacancies within this team as the changes were completed recently as part of a wider service review, recruitment processes are in place and all roles are currently being undertaken by temporary staff on an interim basis.</w:t>
      </w:r>
    </w:p>
    <w:p w14:paraId="1A5335D0" w14:textId="77777777" w:rsidR="00A648BF" w:rsidRPr="00E10F3C" w:rsidRDefault="00A648BF" w:rsidP="00A648BF">
      <w:pPr>
        <w:ind w:left="720" w:hanging="720"/>
        <w:rPr>
          <w:i/>
          <w:sz w:val="24"/>
          <w:szCs w:val="24"/>
        </w:rPr>
      </w:pPr>
    </w:p>
    <w:p w14:paraId="0544346C" w14:textId="3ECC61D2" w:rsidR="00A648BF" w:rsidRPr="000E0A57" w:rsidRDefault="00E23014" w:rsidP="00A648BF">
      <w:pPr>
        <w:tabs>
          <w:tab w:val="left" w:pos="720"/>
        </w:tabs>
        <w:ind w:left="720" w:hanging="720"/>
        <w:jc w:val="left"/>
        <w:rPr>
          <w:rFonts w:cs="Arial"/>
          <w:sz w:val="24"/>
          <w:szCs w:val="24"/>
          <w:u w:val="single"/>
        </w:rPr>
      </w:pPr>
      <w:r>
        <w:rPr>
          <w:rFonts w:cs="Arial"/>
          <w:b/>
          <w:sz w:val="24"/>
          <w:szCs w:val="24"/>
        </w:rPr>
        <w:t>4</w:t>
      </w:r>
      <w:r w:rsidR="00B20B95">
        <w:rPr>
          <w:rFonts w:cs="Arial"/>
          <w:b/>
          <w:sz w:val="24"/>
          <w:szCs w:val="24"/>
        </w:rPr>
        <w:tab/>
      </w:r>
      <w:r w:rsidR="00A648BF" w:rsidRPr="00973B86">
        <w:rPr>
          <w:rFonts w:cs="Arial"/>
          <w:b/>
          <w:sz w:val="24"/>
          <w:szCs w:val="24"/>
        </w:rPr>
        <w:t>Lifting Equipment</w:t>
      </w:r>
      <w:r w:rsidR="00A648BF">
        <w:rPr>
          <w:rFonts w:cs="Arial"/>
          <w:sz w:val="24"/>
          <w:szCs w:val="24"/>
          <w:u w:val="single"/>
        </w:rPr>
        <w:t xml:space="preserve"> </w:t>
      </w:r>
    </w:p>
    <w:p w14:paraId="249BCE21" w14:textId="77777777" w:rsidR="00A648BF" w:rsidRPr="000E0A57" w:rsidRDefault="00A648BF" w:rsidP="00A648BF">
      <w:pPr>
        <w:tabs>
          <w:tab w:val="left" w:pos="720"/>
        </w:tabs>
        <w:ind w:left="720" w:hanging="720"/>
        <w:jc w:val="left"/>
        <w:rPr>
          <w:rFonts w:cs="Arial"/>
          <w:sz w:val="24"/>
          <w:szCs w:val="24"/>
        </w:rPr>
      </w:pPr>
    </w:p>
    <w:p w14:paraId="083F98FD" w14:textId="49F658BA" w:rsidR="00A648BF" w:rsidRDefault="00E23014" w:rsidP="00271402">
      <w:pPr>
        <w:tabs>
          <w:tab w:val="left" w:pos="720"/>
        </w:tabs>
        <w:ind w:left="709" w:hanging="709"/>
        <w:rPr>
          <w:rFonts w:cs="Arial"/>
          <w:sz w:val="24"/>
          <w:szCs w:val="24"/>
        </w:rPr>
      </w:pPr>
      <w:r>
        <w:rPr>
          <w:rFonts w:cs="Arial"/>
          <w:sz w:val="24"/>
          <w:szCs w:val="24"/>
        </w:rPr>
        <w:t>4</w:t>
      </w:r>
      <w:r w:rsidR="00B20B95">
        <w:rPr>
          <w:rFonts w:cs="Arial"/>
          <w:sz w:val="24"/>
          <w:szCs w:val="24"/>
        </w:rPr>
        <w:t>.1</w:t>
      </w:r>
      <w:r w:rsidR="00A648BF">
        <w:rPr>
          <w:rFonts w:cs="Arial"/>
          <w:sz w:val="24"/>
          <w:szCs w:val="24"/>
        </w:rPr>
        <w:tab/>
      </w:r>
      <w:r w:rsidR="00593A3B">
        <w:rPr>
          <w:rFonts w:cs="Arial"/>
          <w:sz w:val="24"/>
          <w:szCs w:val="24"/>
        </w:rPr>
        <w:t>The t</w:t>
      </w:r>
      <w:r w:rsidR="00A648BF">
        <w:rPr>
          <w:rFonts w:cs="Arial"/>
          <w:sz w:val="24"/>
          <w:szCs w:val="24"/>
        </w:rPr>
        <w:t>est</w:t>
      </w:r>
      <w:r w:rsidR="00593A3B">
        <w:rPr>
          <w:rFonts w:cs="Arial"/>
          <w:sz w:val="24"/>
          <w:szCs w:val="24"/>
        </w:rPr>
        <w:t>ing</w:t>
      </w:r>
      <w:r w:rsidR="00A648BF">
        <w:rPr>
          <w:rFonts w:cs="Arial"/>
          <w:sz w:val="24"/>
          <w:szCs w:val="24"/>
        </w:rPr>
        <w:t>, inspection and servicing of p</w:t>
      </w:r>
      <w:r w:rsidR="00A648BF" w:rsidRPr="000E0A57">
        <w:rPr>
          <w:rFonts w:cs="Arial"/>
          <w:sz w:val="24"/>
          <w:szCs w:val="24"/>
        </w:rPr>
        <w:t>assenger lifts</w:t>
      </w:r>
      <w:r w:rsidR="00593A3B">
        <w:rPr>
          <w:rFonts w:cs="Arial"/>
          <w:sz w:val="24"/>
          <w:szCs w:val="24"/>
        </w:rPr>
        <w:t xml:space="preserve"> is</w:t>
      </w:r>
      <w:r w:rsidR="00A648BF">
        <w:rPr>
          <w:rFonts w:cs="Arial"/>
          <w:sz w:val="24"/>
          <w:szCs w:val="24"/>
        </w:rPr>
        <w:t xml:space="preserve"> managed by the Corporate Facilities team</w:t>
      </w:r>
      <w:r w:rsidR="00593A3B">
        <w:rPr>
          <w:rFonts w:cs="Arial"/>
          <w:sz w:val="24"/>
          <w:szCs w:val="24"/>
        </w:rPr>
        <w:t xml:space="preserve"> under the umbrella of the corporate contract covering </w:t>
      </w:r>
      <w:r w:rsidR="00593A3B">
        <w:rPr>
          <w:rFonts w:cs="Arial"/>
          <w:sz w:val="24"/>
          <w:szCs w:val="24"/>
        </w:rPr>
        <w:lastRenderedPageBreak/>
        <w:t xml:space="preserve">lift servicing and </w:t>
      </w:r>
      <w:r w:rsidR="00847364">
        <w:rPr>
          <w:rFonts w:cs="Arial"/>
          <w:sz w:val="24"/>
          <w:szCs w:val="24"/>
        </w:rPr>
        <w:t>maintenance</w:t>
      </w:r>
      <w:r w:rsidR="00A648BF">
        <w:rPr>
          <w:rFonts w:cs="Arial"/>
          <w:sz w:val="24"/>
          <w:szCs w:val="24"/>
        </w:rPr>
        <w:t>.</w:t>
      </w:r>
      <w:r w:rsidR="00593A3B">
        <w:rPr>
          <w:rFonts w:cs="Arial"/>
          <w:sz w:val="24"/>
          <w:szCs w:val="24"/>
        </w:rPr>
        <w:t xml:space="preserve"> The Facilities Management team have therefore been advised of where such lifts exist throughout the housing stock to ensure they are included in the ongoing programme. With</w:t>
      </w:r>
      <w:r w:rsidR="00AC1034">
        <w:rPr>
          <w:rFonts w:cs="Arial"/>
          <w:sz w:val="24"/>
          <w:szCs w:val="24"/>
        </w:rPr>
        <w:t xml:space="preserve"> regards to any stair lifts or </w:t>
      </w:r>
      <w:r w:rsidR="00A648BF">
        <w:rPr>
          <w:rFonts w:cs="Arial"/>
          <w:sz w:val="24"/>
          <w:szCs w:val="24"/>
        </w:rPr>
        <w:t>other such hoists</w:t>
      </w:r>
      <w:r w:rsidR="00AC1034">
        <w:rPr>
          <w:rFonts w:cs="Arial"/>
          <w:sz w:val="24"/>
          <w:szCs w:val="24"/>
        </w:rPr>
        <w:t xml:space="preserve"> and access equipment</w:t>
      </w:r>
      <w:r w:rsidR="00A648BF">
        <w:rPr>
          <w:rFonts w:cs="Arial"/>
          <w:sz w:val="24"/>
          <w:szCs w:val="24"/>
        </w:rPr>
        <w:t xml:space="preserve"> within dwellings, </w:t>
      </w:r>
      <w:r w:rsidR="00271402">
        <w:rPr>
          <w:rFonts w:cs="Arial"/>
          <w:sz w:val="24"/>
          <w:szCs w:val="24"/>
        </w:rPr>
        <w:t xml:space="preserve">hoists are </w:t>
      </w:r>
      <w:r w:rsidR="00847364">
        <w:rPr>
          <w:rFonts w:cs="Arial"/>
          <w:sz w:val="24"/>
          <w:szCs w:val="24"/>
        </w:rPr>
        <w:t>maintained</w:t>
      </w:r>
      <w:r w:rsidR="00271402">
        <w:rPr>
          <w:rFonts w:cs="Arial"/>
          <w:sz w:val="24"/>
          <w:szCs w:val="24"/>
        </w:rPr>
        <w:t xml:space="preserve"> by Nottinghamshire County Council and stairlifts are replaced and maintained by the housing management team. New stairlifts are fitted by the Private Sector Housing team via a Council House Adaptation grant on receipt of an Occupational Therapy referral. </w:t>
      </w:r>
      <w:r w:rsidR="00A648BF">
        <w:rPr>
          <w:rFonts w:cs="Arial"/>
          <w:sz w:val="24"/>
          <w:szCs w:val="24"/>
        </w:rPr>
        <w:t>Where there are any p</w:t>
      </w:r>
      <w:r w:rsidR="00A648BF" w:rsidRPr="000E0A57">
        <w:rPr>
          <w:rFonts w:cs="Arial"/>
          <w:sz w:val="24"/>
          <w:szCs w:val="24"/>
        </w:rPr>
        <w:t xml:space="preserve">latform </w:t>
      </w:r>
      <w:r w:rsidR="00A648BF">
        <w:rPr>
          <w:rFonts w:cs="Arial"/>
          <w:sz w:val="24"/>
          <w:szCs w:val="24"/>
        </w:rPr>
        <w:t xml:space="preserve">or stair </w:t>
      </w:r>
      <w:r w:rsidR="00A648BF" w:rsidRPr="000E0A57">
        <w:rPr>
          <w:rFonts w:cs="Arial"/>
          <w:sz w:val="24"/>
          <w:szCs w:val="24"/>
        </w:rPr>
        <w:t>lifts</w:t>
      </w:r>
      <w:r w:rsidR="00271402">
        <w:rPr>
          <w:rFonts w:cs="Arial"/>
          <w:sz w:val="24"/>
          <w:szCs w:val="24"/>
        </w:rPr>
        <w:t xml:space="preserve"> within complexes or tenant meeting rooms the Facilities Management team</w:t>
      </w:r>
      <w:r w:rsidR="00A648BF">
        <w:rPr>
          <w:rFonts w:cs="Arial"/>
          <w:sz w:val="24"/>
          <w:szCs w:val="24"/>
        </w:rPr>
        <w:t xml:space="preserve"> </w:t>
      </w:r>
      <w:r w:rsidR="00271402">
        <w:rPr>
          <w:rFonts w:cs="Arial"/>
          <w:sz w:val="24"/>
          <w:szCs w:val="24"/>
        </w:rPr>
        <w:t>are looking to identify</w:t>
      </w:r>
      <w:r w:rsidR="00A648BF">
        <w:rPr>
          <w:rFonts w:cs="Arial"/>
          <w:sz w:val="24"/>
          <w:szCs w:val="24"/>
        </w:rPr>
        <w:t xml:space="preserve"> if such equipment is included within the passenger lift contract.</w:t>
      </w:r>
    </w:p>
    <w:p w14:paraId="0ADCE2F4" w14:textId="77777777" w:rsidR="00A648BF" w:rsidRPr="000E0A57" w:rsidRDefault="00A648BF" w:rsidP="00271402">
      <w:pPr>
        <w:tabs>
          <w:tab w:val="left" w:pos="720"/>
        </w:tabs>
        <w:jc w:val="left"/>
        <w:rPr>
          <w:rFonts w:cs="Arial"/>
          <w:sz w:val="24"/>
          <w:szCs w:val="24"/>
        </w:rPr>
      </w:pPr>
    </w:p>
    <w:p w14:paraId="56FB513A" w14:textId="5FA7BDF2" w:rsidR="00A648BF" w:rsidRPr="000E0A57" w:rsidRDefault="00E23014" w:rsidP="00A648BF">
      <w:pPr>
        <w:tabs>
          <w:tab w:val="left" w:pos="720"/>
        </w:tabs>
        <w:ind w:left="720" w:hanging="720"/>
        <w:jc w:val="left"/>
        <w:rPr>
          <w:rFonts w:cs="Arial"/>
          <w:sz w:val="24"/>
          <w:szCs w:val="24"/>
          <w:u w:val="single"/>
        </w:rPr>
      </w:pPr>
      <w:r>
        <w:rPr>
          <w:rFonts w:cs="Arial"/>
          <w:b/>
          <w:sz w:val="24"/>
          <w:szCs w:val="24"/>
        </w:rPr>
        <w:t>5</w:t>
      </w:r>
      <w:r w:rsidR="00B20B95">
        <w:rPr>
          <w:rFonts w:cs="Arial"/>
          <w:b/>
          <w:sz w:val="24"/>
          <w:szCs w:val="24"/>
        </w:rPr>
        <w:tab/>
      </w:r>
      <w:r w:rsidR="00973B86">
        <w:rPr>
          <w:rFonts w:cs="Arial"/>
          <w:b/>
          <w:sz w:val="24"/>
          <w:szCs w:val="24"/>
        </w:rPr>
        <w:t>Legionella Management</w:t>
      </w:r>
    </w:p>
    <w:p w14:paraId="02680CD2" w14:textId="77777777" w:rsidR="00A648BF" w:rsidRPr="000E0A57" w:rsidRDefault="00A648BF" w:rsidP="00A648BF">
      <w:pPr>
        <w:tabs>
          <w:tab w:val="left" w:pos="720"/>
        </w:tabs>
        <w:ind w:left="720" w:hanging="720"/>
        <w:jc w:val="left"/>
        <w:rPr>
          <w:rFonts w:cs="Arial"/>
          <w:sz w:val="24"/>
          <w:szCs w:val="24"/>
        </w:rPr>
      </w:pPr>
    </w:p>
    <w:p w14:paraId="6CC0733B" w14:textId="26753595" w:rsidR="00A648BF" w:rsidRPr="000E0A57" w:rsidRDefault="00E23014" w:rsidP="00271402">
      <w:pPr>
        <w:tabs>
          <w:tab w:val="left" w:pos="0"/>
        </w:tabs>
        <w:ind w:left="709" w:hanging="709"/>
        <w:rPr>
          <w:rFonts w:cs="Arial"/>
          <w:sz w:val="24"/>
          <w:szCs w:val="24"/>
        </w:rPr>
      </w:pPr>
      <w:r>
        <w:rPr>
          <w:rFonts w:cs="Arial"/>
          <w:sz w:val="24"/>
          <w:szCs w:val="24"/>
        </w:rPr>
        <w:t>5</w:t>
      </w:r>
      <w:r w:rsidR="00B20B95">
        <w:rPr>
          <w:rFonts w:cs="Arial"/>
          <w:sz w:val="24"/>
          <w:szCs w:val="24"/>
        </w:rPr>
        <w:t>.1</w:t>
      </w:r>
      <w:r w:rsidR="00271402">
        <w:rPr>
          <w:rFonts w:cs="Arial"/>
          <w:sz w:val="24"/>
          <w:szCs w:val="24"/>
        </w:rPr>
        <w:tab/>
      </w:r>
      <w:r w:rsidR="00A648BF" w:rsidRPr="000E0A57">
        <w:rPr>
          <w:rFonts w:cs="Arial"/>
          <w:sz w:val="24"/>
          <w:szCs w:val="24"/>
        </w:rPr>
        <w:t>Ongoing legionella flushing regimes are in place at all complexes and at Vale Road depot in accordance with t</w:t>
      </w:r>
      <w:r w:rsidR="00AC1034">
        <w:rPr>
          <w:rFonts w:cs="Arial"/>
          <w:sz w:val="24"/>
          <w:szCs w:val="24"/>
        </w:rPr>
        <w:t>he council’s legionella policy.</w:t>
      </w:r>
      <w:r w:rsidR="00271402">
        <w:rPr>
          <w:rFonts w:cs="Arial"/>
          <w:sz w:val="24"/>
          <w:szCs w:val="24"/>
        </w:rPr>
        <w:t xml:space="preserve"> </w:t>
      </w:r>
      <w:r w:rsidR="00AC1034">
        <w:rPr>
          <w:rFonts w:cs="Arial"/>
          <w:sz w:val="24"/>
          <w:szCs w:val="24"/>
        </w:rPr>
        <w:t xml:space="preserve">Legionella management is being reviewed </w:t>
      </w:r>
      <w:r w:rsidR="00271402">
        <w:rPr>
          <w:rFonts w:cs="Arial"/>
          <w:sz w:val="24"/>
          <w:szCs w:val="24"/>
        </w:rPr>
        <w:t>as part of a wi</w:t>
      </w:r>
      <w:r w:rsidR="003E21FC">
        <w:rPr>
          <w:rFonts w:cs="Arial"/>
          <w:sz w:val="24"/>
          <w:szCs w:val="24"/>
        </w:rPr>
        <w:t>der desktop compliance review being undertaken by</w:t>
      </w:r>
      <w:r w:rsidR="00271402">
        <w:rPr>
          <w:rFonts w:cs="Arial"/>
          <w:sz w:val="24"/>
          <w:szCs w:val="24"/>
        </w:rPr>
        <w:t xml:space="preserve"> Savills</w:t>
      </w:r>
      <w:r w:rsidR="00E13F65">
        <w:rPr>
          <w:rFonts w:cs="Arial"/>
          <w:sz w:val="24"/>
          <w:szCs w:val="24"/>
        </w:rPr>
        <w:t>, thi</w:t>
      </w:r>
      <w:r w:rsidR="003E21FC">
        <w:rPr>
          <w:rFonts w:cs="Arial"/>
          <w:sz w:val="24"/>
          <w:szCs w:val="24"/>
        </w:rPr>
        <w:t>s exercise commenced in December</w:t>
      </w:r>
      <w:r w:rsidR="00633EF3">
        <w:rPr>
          <w:rFonts w:cs="Arial"/>
          <w:sz w:val="24"/>
          <w:szCs w:val="24"/>
        </w:rPr>
        <w:t xml:space="preserve"> 2021 with the council</w:t>
      </w:r>
      <w:r w:rsidR="00E13F65">
        <w:rPr>
          <w:rFonts w:cs="Arial"/>
          <w:sz w:val="24"/>
          <w:szCs w:val="24"/>
        </w:rPr>
        <w:t xml:space="preserve"> committing to providing Savills with any data re</w:t>
      </w:r>
      <w:r w:rsidR="003E21FC">
        <w:rPr>
          <w:rFonts w:cs="Arial"/>
          <w:sz w:val="24"/>
          <w:szCs w:val="24"/>
        </w:rPr>
        <w:t>quired before the end of March</w:t>
      </w:r>
      <w:r w:rsidR="00E13F65">
        <w:rPr>
          <w:rFonts w:cs="Arial"/>
          <w:sz w:val="24"/>
          <w:szCs w:val="24"/>
        </w:rPr>
        <w:t xml:space="preserve"> 2022.</w:t>
      </w:r>
      <w:r w:rsidR="00271402">
        <w:rPr>
          <w:rFonts w:cs="Arial"/>
          <w:sz w:val="24"/>
          <w:szCs w:val="24"/>
        </w:rPr>
        <w:t xml:space="preserve"> </w:t>
      </w:r>
      <w:r w:rsidR="00E13F65">
        <w:rPr>
          <w:rFonts w:cs="Arial"/>
          <w:sz w:val="24"/>
          <w:szCs w:val="24"/>
        </w:rPr>
        <w:t>P</w:t>
      </w:r>
      <w:r w:rsidR="00AC1034">
        <w:rPr>
          <w:rFonts w:cs="Arial"/>
          <w:sz w:val="24"/>
          <w:szCs w:val="24"/>
        </w:rPr>
        <w:t xml:space="preserve">rocesses </w:t>
      </w:r>
      <w:r w:rsidR="00E13F65">
        <w:rPr>
          <w:rFonts w:cs="Arial"/>
          <w:sz w:val="24"/>
          <w:szCs w:val="24"/>
        </w:rPr>
        <w:t xml:space="preserve">have </w:t>
      </w:r>
      <w:r w:rsidR="00AC1034">
        <w:rPr>
          <w:rFonts w:cs="Arial"/>
          <w:sz w:val="24"/>
          <w:szCs w:val="24"/>
        </w:rPr>
        <w:t>being implemented to</w:t>
      </w:r>
      <w:r w:rsidR="00A648BF" w:rsidRPr="000E0A57">
        <w:rPr>
          <w:rFonts w:cs="Arial"/>
          <w:sz w:val="24"/>
          <w:szCs w:val="24"/>
        </w:rPr>
        <w:t xml:space="preserve"> void properties</w:t>
      </w:r>
      <w:r w:rsidR="00AC1034">
        <w:rPr>
          <w:rFonts w:cs="Arial"/>
          <w:sz w:val="24"/>
          <w:szCs w:val="24"/>
        </w:rPr>
        <w:t>, in particular long term voids</w:t>
      </w:r>
      <w:r w:rsidR="00E13F65">
        <w:rPr>
          <w:rFonts w:cs="Arial"/>
          <w:sz w:val="24"/>
          <w:szCs w:val="24"/>
        </w:rPr>
        <w:t xml:space="preserve"> to ensure that the relevant actions are taken</w:t>
      </w:r>
      <w:r w:rsidR="003E21FC">
        <w:rPr>
          <w:rFonts w:cs="Arial"/>
          <w:sz w:val="24"/>
          <w:szCs w:val="24"/>
        </w:rPr>
        <w:t xml:space="preserve"> and logged such as draining down or</w:t>
      </w:r>
      <w:r w:rsidR="00E13F65">
        <w:rPr>
          <w:rFonts w:cs="Arial"/>
          <w:sz w:val="24"/>
          <w:szCs w:val="24"/>
        </w:rPr>
        <w:t xml:space="preserve"> flushing </w:t>
      </w:r>
      <w:r w:rsidR="003E21FC">
        <w:rPr>
          <w:rFonts w:cs="Arial"/>
          <w:sz w:val="24"/>
          <w:szCs w:val="24"/>
        </w:rPr>
        <w:t xml:space="preserve">of </w:t>
      </w:r>
      <w:r w:rsidR="00E13F65">
        <w:rPr>
          <w:rFonts w:cs="Arial"/>
          <w:sz w:val="24"/>
          <w:szCs w:val="24"/>
        </w:rPr>
        <w:t>water systems, this is dependent upon length of time the property is void.</w:t>
      </w:r>
      <w:r w:rsidR="00AC1034">
        <w:rPr>
          <w:rFonts w:cs="Arial"/>
          <w:sz w:val="24"/>
          <w:szCs w:val="24"/>
        </w:rPr>
        <w:t xml:space="preserve"> </w:t>
      </w:r>
      <w:r w:rsidR="00144750">
        <w:rPr>
          <w:rFonts w:cs="Arial"/>
          <w:sz w:val="24"/>
          <w:szCs w:val="24"/>
        </w:rPr>
        <w:t>Second Element are the current contractors us</w:t>
      </w:r>
      <w:r w:rsidR="003E21FC">
        <w:rPr>
          <w:rFonts w:cs="Arial"/>
          <w:sz w:val="24"/>
          <w:szCs w:val="24"/>
        </w:rPr>
        <w:t>ed for legionella works to the schemes and depot facility</w:t>
      </w:r>
      <w:r w:rsidR="00144750">
        <w:rPr>
          <w:rFonts w:cs="Arial"/>
          <w:sz w:val="24"/>
          <w:szCs w:val="24"/>
        </w:rPr>
        <w:t xml:space="preserve"> with </w:t>
      </w:r>
      <w:r w:rsidR="003E21FC">
        <w:rPr>
          <w:rFonts w:cs="Arial"/>
          <w:sz w:val="24"/>
          <w:szCs w:val="24"/>
        </w:rPr>
        <w:t xml:space="preserve">assistance from </w:t>
      </w:r>
      <w:r w:rsidR="00144750">
        <w:rPr>
          <w:rFonts w:cs="Arial"/>
          <w:sz w:val="24"/>
          <w:szCs w:val="24"/>
        </w:rPr>
        <w:t>in-house staff.</w:t>
      </w:r>
      <w:r w:rsidR="003E21FC">
        <w:rPr>
          <w:rFonts w:cs="Arial"/>
          <w:sz w:val="24"/>
          <w:szCs w:val="24"/>
        </w:rPr>
        <w:t xml:space="preserve"> All void legionella procedures are carried out by the in-house trade team.</w:t>
      </w:r>
    </w:p>
    <w:p w14:paraId="2E119F50" w14:textId="77777777" w:rsidR="00A648BF" w:rsidRDefault="00A648BF" w:rsidP="00A648BF">
      <w:pPr>
        <w:tabs>
          <w:tab w:val="left" w:pos="720"/>
        </w:tabs>
        <w:rPr>
          <w:sz w:val="24"/>
          <w:szCs w:val="24"/>
        </w:rPr>
      </w:pPr>
    </w:p>
    <w:p w14:paraId="75199ACC" w14:textId="02041F63" w:rsidR="00271402" w:rsidRDefault="00E23014" w:rsidP="00A648BF">
      <w:pPr>
        <w:tabs>
          <w:tab w:val="left" w:pos="720"/>
        </w:tabs>
        <w:rPr>
          <w:sz w:val="24"/>
          <w:szCs w:val="24"/>
        </w:rPr>
      </w:pPr>
      <w:r>
        <w:rPr>
          <w:rFonts w:cs="Arial"/>
          <w:b/>
          <w:sz w:val="24"/>
          <w:szCs w:val="24"/>
        </w:rPr>
        <w:t>6</w:t>
      </w:r>
      <w:r w:rsidR="00B20B95">
        <w:rPr>
          <w:rFonts w:cs="Arial"/>
          <w:b/>
          <w:sz w:val="24"/>
          <w:szCs w:val="24"/>
        </w:rPr>
        <w:tab/>
      </w:r>
      <w:r w:rsidR="00271402" w:rsidRPr="00973B86">
        <w:rPr>
          <w:rFonts w:cs="Arial"/>
          <w:b/>
          <w:sz w:val="24"/>
          <w:szCs w:val="24"/>
        </w:rPr>
        <w:t>Fire Risk Assessments (FRA)</w:t>
      </w:r>
      <w:r w:rsidR="008E4D0B">
        <w:rPr>
          <w:rFonts w:cs="Arial"/>
          <w:b/>
          <w:sz w:val="24"/>
          <w:szCs w:val="24"/>
        </w:rPr>
        <w:t xml:space="preserve"> &amp; Fire Upgrade and Refurbishment Work</w:t>
      </w:r>
    </w:p>
    <w:p w14:paraId="72548309" w14:textId="77777777" w:rsidR="00A648BF" w:rsidRDefault="00A648BF" w:rsidP="00AC1034">
      <w:pPr>
        <w:tabs>
          <w:tab w:val="left" w:pos="720"/>
        </w:tabs>
        <w:jc w:val="left"/>
        <w:rPr>
          <w:rFonts w:cs="Arial"/>
          <w:sz w:val="24"/>
          <w:szCs w:val="24"/>
        </w:rPr>
      </w:pPr>
    </w:p>
    <w:p w14:paraId="2F33E516" w14:textId="3B630306" w:rsidR="008E4D0B" w:rsidRDefault="00E23014" w:rsidP="00271402">
      <w:pPr>
        <w:tabs>
          <w:tab w:val="left" w:pos="720"/>
        </w:tabs>
        <w:ind w:left="720" w:hanging="720"/>
        <w:rPr>
          <w:rFonts w:cs="Arial"/>
          <w:sz w:val="24"/>
          <w:szCs w:val="24"/>
        </w:rPr>
      </w:pPr>
      <w:r>
        <w:rPr>
          <w:rFonts w:cs="Arial"/>
          <w:sz w:val="24"/>
          <w:szCs w:val="24"/>
        </w:rPr>
        <w:t>6</w:t>
      </w:r>
      <w:r w:rsidR="00B20B95">
        <w:rPr>
          <w:rFonts w:cs="Arial"/>
          <w:sz w:val="24"/>
          <w:szCs w:val="24"/>
        </w:rPr>
        <w:t>.1</w:t>
      </w:r>
      <w:r w:rsidR="00A648BF" w:rsidRPr="000E0A57">
        <w:rPr>
          <w:rFonts w:cs="Arial"/>
          <w:sz w:val="24"/>
          <w:szCs w:val="24"/>
        </w:rPr>
        <w:tab/>
      </w:r>
      <w:r w:rsidR="008E4D0B">
        <w:rPr>
          <w:rFonts w:cs="Arial"/>
          <w:sz w:val="24"/>
          <w:szCs w:val="24"/>
        </w:rPr>
        <w:t xml:space="preserve">The Housing service are nearing the end of reviewing a Fire Policy covering all sheltered schemes and general needs blocks of flats in conjunction with Bassetlaw Health and Safety team, ASSIST, Housing Management and Repairs. The policy sets out arrangements for responsible persons, evacuation, Personal Evacuation Plans, Person Centred Fire Risk Assessments and risk assessment. It also includes references to housing management related issues including scooter storage, testing of alarms and equipment, rehousing and allocations e.g. where resident mobility deteriorates. </w:t>
      </w:r>
    </w:p>
    <w:p w14:paraId="74E8375C" w14:textId="77777777" w:rsidR="008E4D0B" w:rsidRDefault="008E4D0B" w:rsidP="00271402">
      <w:pPr>
        <w:tabs>
          <w:tab w:val="left" w:pos="720"/>
        </w:tabs>
        <w:ind w:left="720" w:hanging="720"/>
        <w:rPr>
          <w:rFonts w:cs="Arial"/>
          <w:sz w:val="24"/>
          <w:szCs w:val="24"/>
        </w:rPr>
      </w:pPr>
    </w:p>
    <w:p w14:paraId="0BA0B15F" w14:textId="4E85B988" w:rsidR="00A648BF" w:rsidRPr="00271402" w:rsidRDefault="00E23014" w:rsidP="00271402">
      <w:pPr>
        <w:tabs>
          <w:tab w:val="left" w:pos="720"/>
        </w:tabs>
        <w:ind w:left="720" w:hanging="720"/>
        <w:rPr>
          <w:rFonts w:cs="Arial"/>
          <w:b/>
          <w:sz w:val="24"/>
          <w:szCs w:val="24"/>
          <w:u w:val="single"/>
        </w:rPr>
      </w:pPr>
      <w:r>
        <w:rPr>
          <w:rFonts w:cs="Arial"/>
          <w:sz w:val="24"/>
          <w:szCs w:val="24"/>
        </w:rPr>
        <w:t>6</w:t>
      </w:r>
      <w:r w:rsidR="00B20B95">
        <w:rPr>
          <w:rFonts w:cs="Arial"/>
          <w:sz w:val="24"/>
          <w:szCs w:val="24"/>
        </w:rPr>
        <w:t>.2</w:t>
      </w:r>
      <w:r w:rsidR="008E4D0B">
        <w:rPr>
          <w:rFonts w:cs="Arial"/>
          <w:sz w:val="24"/>
          <w:szCs w:val="24"/>
        </w:rPr>
        <w:tab/>
      </w:r>
      <w:r w:rsidR="00A648BF">
        <w:rPr>
          <w:rFonts w:cs="Arial"/>
          <w:sz w:val="24"/>
          <w:szCs w:val="24"/>
        </w:rPr>
        <w:t xml:space="preserve">There is </w:t>
      </w:r>
      <w:r w:rsidR="00271402">
        <w:rPr>
          <w:rFonts w:cs="Arial"/>
          <w:sz w:val="24"/>
          <w:szCs w:val="24"/>
        </w:rPr>
        <w:t xml:space="preserve">now </w:t>
      </w:r>
      <w:r w:rsidR="00A648BF">
        <w:rPr>
          <w:rFonts w:cs="Arial"/>
          <w:sz w:val="24"/>
          <w:szCs w:val="24"/>
        </w:rPr>
        <w:t>a need to review fire risk assessments to</w:t>
      </w:r>
      <w:r w:rsidR="00271402">
        <w:rPr>
          <w:rFonts w:cs="Arial"/>
          <w:sz w:val="24"/>
          <w:szCs w:val="24"/>
        </w:rPr>
        <w:t xml:space="preserve"> the in-</w:t>
      </w:r>
      <w:r w:rsidR="00A648BF">
        <w:rPr>
          <w:rFonts w:cs="Arial"/>
          <w:sz w:val="24"/>
          <w:szCs w:val="24"/>
        </w:rPr>
        <w:t>scope premises, (i.e. those that have shared/common areas</w:t>
      </w:r>
      <w:r w:rsidR="008E4D0B">
        <w:rPr>
          <w:rFonts w:cs="Arial"/>
          <w:sz w:val="24"/>
          <w:szCs w:val="24"/>
        </w:rPr>
        <w:t xml:space="preserve"> such as sheltered schemes and blocks of flats</w:t>
      </w:r>
      <w:r w:rsidR="00A648BF">
        <w:rPr>
          <w:rFonts w:cs="Arial"/>
          <w:sz w:val="24"/>
          <w:szCs w:val="24"/>
        </w:rPr>
        <w:t xml:space="preserve">). </w:t>
      </w:r>
      <w:r w:rsidR="00271402" w:rsidRPr="00271402">
        <w:rPr>
          <w:rFonts w:cs="Arial"/>
          <w:sz w:val="24"/>
          <w:szCs w:val="24"/>
        </w:rPr>
        <w:t xml:space="preserve">To this end, </w:t>
      </w:r>
      <w:r w:rsidR="00271402">
        <w:rPr>
          <w:rFonts w:cs="Arial"/>
          <w:sz w:val="24"/>
          <w:szCs w:val="24"/>
        </w:rPr>
        <w:t>a</w:t>
      </w:r>
      <w:r w:rsidR="00A648BF" w:rsidRPr="00271402">
        <w:rPr>
          <w:rFonts w:cs="Arial"/>
          <w:sz w:val="24"/>
          <w:szCs w:val="24"/>
        </w:rPr>
        <w:t>ll</w:t>
      </w:r>
      <w:r w:rsidR="00A648BF">
        <w:rPr>
          <w:rFonts w:cs="Arial"/>
          <w:sz w:val="24"/>
          <w:szCs w:val="24"/>
        </w:rPr>
        <w:t xml:space="preserve"> </w:t>
      </w:r>
      <w:r w:rsidR="00271402">
        <w:rPr>
          <w:rFonts w:cs="Arial"/>
          <w:sz w:val="24"/>
          <w:szCs w:val="24"/>
        </w:rPr>
        <w:t>FRA data currently held</w:t>
      </w:r>
      <w:r w:rsidR="00A648BF">
        <w:rPr>
          <w:rFonts w:cs="Arial"/>
          <w:sz w:val="24"/>
          <w:szCs w:val="24"/>
        </w:rPr>
        <w:t xml:space="preserve"> </w:t>
      </w:r>
      <w:r w:rsidR="008E4D0B">
        <w:rPr>
          <w:rFonts w:cs="Arial"/>
          <w:sz w:val="24"/>
          <w:szCs w:val="24"/>
        </w:rPr>
        <w:t>is being compiled into one Fire Safety &amp; Refurbishment</w:t>
      </w:r>
      <w:r w:rsidR="00A648BF">
        <w:rPr>
          <w:rFonts w:cs="Arial"/>
          <w:sz w:val="24"/>
          <w:szCs w:val="24"/>
        </w:rPr>
        <w:t xml:space="preserve"> delivery programme. This information will be used to c</w:t>
      </w:r>
      <w:r w:rsidR="00A648BF" w:rsidRPr="003560D9">
        <w:rPr>
          <w:rFonts w:cs="Arial"/>
          <w:sz w:val="24"/>
          <w:szCs w:val="24"/>
        </w:rPr>
        <w:t>rea</w:t>
      </w:r>
      <w:r w:rsidR="00271402">
        <w:rPr>
          <w:rFonts w:cs="Arial"/>
          <w:sz w:val="24"/>
          <w:szCs w:val="24"/>
        </w:rPr>
        <w:t>te a component within QL for</w:t>
      </w:r>
      <w:r w:rsidR="00A648BF" w:rsidRPr="003560D9">
        <w:rPr>
          <w:rFonts w:cs="Arial"/>
          <w:sz w:val="24"/>
          <w:szCs w:val="24"/>
        </w:rPr>
        <w:t xml:space="preserve"> fire risk assessment with the required </w:t>
      </w:r>
      <w:r w:rsidR="00A648BF">
        <w:rPr>
          <w:rFonts w:cs="Arial"/>
          <w:sz w:val="24"/>
          <w:szCs w:val="24"/>
        </w:rPr>
        <w:t xml:space="preserve">frequency </w:t>
      </w:r>
      <w:r w:rsidR="00A648BF" w:rsidRPr="003560D9">
        <w:rPr>
          <w:rFonts w:cs="Arial"/>
          <w:sz w:val="24"/>
          <w:szCs w:val="24"/>
        </w:rPr>
        <w:t>cycles that we agree in the fire policy</w:t>
      </w:r>
      <w:r w:rsidR="00271402">
        <w:rPr>
          <w:rFonts w:cs="Arial"/>
          <w:sz w:val="24"/>
          <w:szCs w:val="24"/>
        </w:rPr>
        <w:t>.</w:t>
      </w:r>
      <w:r w:rsidR="00A648BF" w:rsidRPr="003560D9">
        <w:rPr>
          <w:rFonts w:cs="Arial"/>
          <w:sz w:val="24"/>
          <w:szCs w:val="24"/>
        </w:rPr>
        <w:t xml:space="preserve"> </w:t>
      </w:r>
      <w:r w:rsidR="00271402">
        <w:rPr>
          <w:rFonts w:cs="Arial"/>
          <w:sz w:val="24"/>
          <w:szCs w:val="24"/>
        </w:rPr>
        <w:t>All</w:t>
      </w:r>
      <w:r w:rsidR="00A648BF">
        <w:rPr>
          <w:rFonts w:cs="Arial"/>
          <w:sz w:val="24"/>
          <w:szCs w:val="24"/>
        </w:rPr>
        <w:t xml:space="preserve"> </w:t>
      </w:r>
      <w:r w:rsidR="00A648BF" w:rsidRPr="003560D9">
        <w:rPr>
          <w:rFonts w:cs="Arial"/>
          <w:sz w:val="24"/>
          <w:szCs w:val="24"/>
        </w:rPr>
        <w:t xml:space="preserve">assets </w:t>
      </w:r>
      <w:r w:rsidR="00BE07A9">
        <w:rPr>
          <w:rFonts w:cs="Arial"/>
          <w:sz w:val="24"/>
          <w:szCs w:val="24"/>
        </w:rPr>
        <w:t>will then be listed within a central</w:t>
      </w:r>
      <w:r w:rsidR="00271402">
        <w:rPr>
          <w:rFonts w:cs="Arial"/>
          <w:sz w:val="24"/>
          <w:szCs w:val="24"/>
        </w:rPr>
        <w:t xml:space="preserve"> database</w:t>
      </w:r>
      <w:r w:rsidR="00A648BF" w:rsidRPr="003560D9">
        <w:rPr>
          <w:rFonts w:cs="Arial"/>
          <w:sz w:val="24"/>
          <w:szCs w:val="24"/>
        </w:rPr>
        <w:t xml:space="preserve"> with the date of the last fire risk assessment.</w:t>
      </w:r>
      <w:r w:rsidR="00A648BF">
        <w:rPr>
          <w:rFonts w:cs="Arial"/>
          <w:sz w:val="24"/>
          <w:szCs w:val="24"/>
        </w:rPr>
        <w:t xml:space="preserve"> This creates a central repository for information and moves away from a spreadsheet driven programme.</w:t>
      </w:r>
    </w:p>
    <w:p w14:paraId="2EC1412F" w14:textId="77777777" w:rsidR="00A648BF" w:rsidRDefault="00A648BF" w:rsidP="00A648BF">
      <w:pPr>
        <w:tabs>
          <w:tab w:val="left" w:pos="720"/>
        </w:tabs>
        <w:ind w:left="720" w:hanging="11"/>
        <w:rPr>
          <w:rFonts w:cs="Arial"/>
          <w:sz w:val="24"/>
          <w:szCs w:val="24"/>
        </w:rPr>
      </w:pPr>
    </w:p>
    <w:p w14:paraId="46EE8057" w14:textId="069F2820" w:rsidR="00A648BF" w:rsidRPr="008E4D0B" w:rsidRDefault="00E23014" w:rsidP="008E4D0B">
      <w:pPr>
        <w:tabs>
          <w:tab w:val="left" w:pos="720"/>
        </w:tabs>
        <w:ind w:left="709" w:hanging="709"/>
        <w:rPr>
          <w:rFonts w:cs="Arial"/>
          <w:sz w:val="24"/>
          <w:szCs w:val="24"/>
        </w:rPr>
      </w:pPr>
      <w:r>
        <w:rPr>
          <w:rFonts w:cs="Arial"/>
          <w:sz w:val="24"/>
          <w:szCs w:val="24"/>
        </w:rPr>
        <w:t>6</w:t>
      </w:r>
      <w:r w:rsidR="00B20B95">
        <w:rPr>
          <w:rFonts w:cs="Arial"/>
          <w:sz w:val="24"/>
          <w:szCs w:val="24"/>
        </w:rPr>
        <w:t>.3</w:t>
      </w:r>
      <w:r w:rsidR="00271402">
        <w:rPr>
          <w:rFonts w:cs="Arial"/>
          <w:sz w:val="24"/>
          <w:szCs w:val="24"/>
        </w:rPr>
        <w:tab/>
      </w:r>
      <w:r w:rsidR="00A648BF">
        <w:rPr>
          <w:rFonts w:cs="Arial"/>
          <w:sz w:val="24"/>
          <w:szCs w:val="24"/>
        </w:rPr>
        <w:t>A planned FRA delivery programme will be developed and a procurement exercise to engage a competent fire risk assessor for delivery of that programme. There will be a need to d</w:t>
      </w:r>
      <w:r w:rsidR="00A648BF" w:rsidRPr="003560D9">
        <w:rPr>
          <w:rFonts w:cs="Arial"/>
          <w:color w:val="000000"/>
          <w:sz w:val="24"/>
          <w:szCs w:val="24"/>
        </w:rPr>
        <w:t xml:space="preserve">iscuss further the competency aspect and training needs if we wish to deliver reviews of </w:t>
      </w:r>
      <w:r w:rsidR="00A648BF">
        <w:rPr>
          <w:rFonts w:cs="Arial"/>
          <w:color w:val="000000"/>
          <w:sz w:val="24"/>
          <w:szCs w:val="24"/>
        </w:rPr>
        <w:t xml:space="preserve">FRA’s </w:t>
      </w:r>
      <w:r w:rsidR="00A648BF" w:rsidRPr="003560D9">
        <w:rPr>
          <w:rFonts w:cs="Arial"/>
          <w:color w:val="000000"/>
          <w:sz w:val="24"/>
          <w:szCs w:val="24"/>
        </w:rPr>
        <w:t>in-house</w:t>
      </w:r>
      <w:r w:rsidR="008E4D0B">
        <w:rPr>
          <w:rFonts w:cs="Arial"/>
          <w:color w:val="000000"/>
          <w:sz w:val="24"/>
          <w:szCs w:val="24"/>
        </w:rPr>
        <w:t xml:space="preserve"> with alignment to</w:t>
      </w:r>
      <w:r w:rsidR="00A648BF" w:rsidRPr="003560D9">
        <w:rPr>
          <w:rFonts w:cs="Arial"/>
          <w:color w:val="000000"/>
          <w:sz w:val="24"/>
          <w:szCs w:val="24"/>
        </w:rPr>
        <w:t xml:space="preserve"> the new </w:t>
      </w:r>
      <w:r w:rsidR="00A648BF">
        <w:rPr>
          <w:rFonts w:cs="Arial"/>
          <w:color w:val="000000"/>
          <w:sz w:val="24"/>
          <w:szCs w:val="24"/>
        </w:rPr>
        <w:t xml:space="preserve">fire </w:t>
      </w:r>
      <w:r w:rsidR="00A648BF" w:rsidRPr="003560D9">
        <w:rPr>
          <w:rFonts w:cs="Arial"/>
          <w:color w:val="000000"/>
          <w:sz w:val="24"/>
          <w:szCs w:val="24"/>
        </w:rPr>
        <w:t>policy approach.</w:t>
      </w:r>
      <w:r w:rsidR="008E4D0B">
        <w:rPr>
          <w:rFonts w:cs="Arial"/>
          <w:sz w:val="24"/>
          <w:szCs w:val="24"/>
        </w:rPr>
        <w:t xml:space="preserve"> </w:t>
      </w:r>
      <w:r w:rsidR="00A648BF">
        <w:rPr>
          <w:rFonts w:cs="Arial"/>
          <w:sz w:val="24"/>
          <w:szCs w:val="24"/>
        </w:rPr>
        <w:t>The need to escalate any inspections to that of a type 3 or t</w:t>
      </w:r>
      <w:r w:rsidR="00A648BF" w:rsidRPr="000E0A57">
        <w:rPr>
          <w:sz w:val="24"/>
          <w:szCs w:val="24"/>
        </w:rPr>
        <w:t>ype 4 fire risk assessment</w:t>
      </w:r>
      <w:r w:rsidR="00A648BF">
        <w:rPr>
          <w:sz w:val="24"/>
          <w:szCs w:val="24"/>
        </w:rPr>
        <w:t xml:space="preserve"> will be driven by the fire policy and aligned to the void programme and resulting actions from the fire risk assessment.</w:t>
      </w:r>
    </w:p>
    <w:p w14:paraId="46BE6265" w14:textId="77777777" w:rsidR="00A648BF" w:rsidRDefault="00A648BF" w:rsidP="00A648BF">
      <w:pPr>
        <w:tabs>
          <w:tab w:val="left" w:pos="720"/>
        </w:tabs>
        <w:ind w:left="720" w:hanging="11"/>
        <w:rPr>
          <w:sz w:val="24"/>
          <w:szCs w:val="24"/>
        </w:rPr>
      </w:pPr>
    </w:p>
    <w:p w14:paraId="10D19FE6" w14:textId="38186608" w:rsidR="00056230" w:rsidRDefault="00E23014" w:rsidP="008E4D0B">
      <w:pPr>
        <w:tabs>
          <w:tab w:val="left" w:pos="720"/>
        </w:tabs>
        <w:ind w:left="709" w:hanging="709"/>
        <w:rPr>
          <w:sz w:val="24"/>
          <w:szCs w:val="24"/>
        </w:rPr>
      </w:pPr>
      <w:r>
        <w:rPr>
          <w:sz w:val="24"/>
          <w:szCs w:val="24"/>
        </w:rPr>
        <w:t>6</w:t>
      </w:r>
      <w:r w:rsidR="00B20B95">
        <w:rPr>
          <w:sz w:val="24"/>
          <w:szCs w:val="24"/>
        </w:rPr>
        <w:t>.4</w:t>
      </w:r>
      <w:r w:rsidR="008E4D0B">
        <w:rPr>
          <w:sz w:val="24"/>
          <w:szCs w:val="24"/>
        </w:rPr>
        <w:tab/>
      </w:r>
      <w:r w:rsidR="00A648BF" w:rsidRPr="000E0A57">
        <w:rPr>
          <w:sz w:val="24"/>
          <w:szCs w:val="24"/>
        </w:rPr>
        <w:t>A programme for</w:t>
      </w:r>
      <w:r w:rsidR="00A648BF">
        <w:rPr>
          <w:sz w:val="24"/>
          <w:szCs w:val="24"/>
        </w:rPr>
        <w:t xml:space="preserve"> fire </w:t>
      </w:r>
      <w:r w:rsidR="008E4D0B">
        <w:rPr>
          <w:sz w:val="24"/>
          <w:szCs w:val="24"/>
        </w:rPr>
        <w:t>upgrade</w:t>
      </w:r>
      <w:r w:rsidR="00A648BF">
        <w:rPr>
          <w:sz w:val="24"/>
          <w:szCs w:val="24"/>
        </w:rPr>
        <w:t xml:space="preserve"> works such as </w:t>
      </w:r>
      <w:r w:rsidR="00A648BF" w:rsidRPr="000E0A57">
        <w:rPr>
          <w:sz w:val="24"/>
          <w:szCs w:val="24"/>
        </w:rPr>
        <w:t>fire</w:t>
      </w:r>
      <w:r w:rsidR="00A648BF">
        <w:rPr>
          <w:sz w:val="24"/>
          <w:szCs w:val="24"/>
        </w:rPr>
        <w:t xml:space="preserve"> </w:t>
      </w:r>
      <w:r w:rsidR="00A648BF" w:rsidRPr="000E0A57">
        <w:rPr>
          <w:sz w:val="24"/>
          <w:szCs w:val="24"/>
        </w:rPr>
        <w:t>stopping works,</w:t>
      </w:r>
      <w:r w:rsidR="00A648BF">
        <w:rPr>
          <w:sz w:val="24"/>
          <w:szCs w:val="24"/>
        </w:rPr>
        <w:t xml:space="preserve"> fire detection, </w:t>
      </w:r>
      <w:r w:rsidR="00A648BF" w:rsidRPr="000E0A57">
        <w:rPr>
          <w:sz w:val="24"/>
          <w:szCs w:val="24"/>
        </w:rPr>
        <w:t>emergency lighting</w:t>
      </w:r>
      <w:r w:rsidR="00A648BF">
        <w:rPr>
          <w:sz w:val="24"/>
          <w:szCs w:val="24"/>
        </w:rPr>
        <w:t xml:space="preserve">, fire door inspection and suppression systems </w:t>
      </w:r>
      <w:r w:rsidR="008E4D0B">
        <w:rPr>
          <w:sz w:val="24"/>
          <w:szCs w:val="24"/>
        </w:rPr>
        <w:t xml:space="preserve">to sheltered schemes has been </w:t>
      </w:r>
      <w:r w:rsidR="00A648BF">
        <w:rPr>
          <w:sz w:val="24"/>
          <w:szCs w:val="24"/>
        </w:rPr>
        <w:t>developed</w:t>
      </w:r>
      <w:r w:rsidR="008E4D0B">
        <w:rPr>
          <w:sz w:val="24"/>
          <w:szCs w:val="24"/>
        </w:rPr>
        <w:t xml:space="preserve"> with the support of the Design Services team. A Fire Upgrade and Refurbishment Project Group exists and meets monthly to oversee the progression of this programme of work with support fr</w:t>
      </w:r>
      <w:r w:rsidR="00006633">
        <w:rPr>
          <w:sz w:val="24"/>
          <w:szCs w:val="24"/>
        </w:rPr>
        <w:t>om Design Services and Finance</w:t>
      </w:r>
      <w:r w:rsidR="008E4D0B">
        <w:rPr>
          <w:sz w:val="24"/>
          <w:szCs w:val="24"/>
        </w:rPr>
        <w:t>.</w:t>
      </w:r>
      <w:r w:rsidR="00A648BF">
        <w:rPr>
          <w:sz w:val="24"/>
          <w:szCs w:val="24"/>
        </w:rPr>
        <w:t xml:space="preserve"> </w:t>
      </w:r>
      <w:r w:rsidR="00006633">
        <w:rPr>
          <w:sz w:val="24"/>
          <w:szCs w:val="24"/>
        </w:rPr>
        <w:t>The Project Group has initially focused its work on the progression of fire upgrade and refurbishment work to sheltered schemes with close working with Nottinghamshire Fire and Rescue Service. Regular meetings take place with the Fire Service at the schemes to ensure they are familiar with the progress being made and satisfied with the council’s response to, and management of, fire risk.</w:t>
      </w:r>
      <w:r w:rsidR="00056230">
        <w:rPr>
          <w:sz w:val="24"/>
          <w:szCs w:val="24"/>
        </w:rPr>
        <w:t xml:space="preserve"> </w:t>
      </w:r>
    </w:p>
    <w:p w14:paraId="54F000E9" w14:textId="77777777" w:rsidR="00056230" w:rsidRDefault="00056230" w:rsidP="008E4D0B">
      <w:pPr>
        <w:tabs>
          <w:tab w:val="left" w:pos="720"/>
        </w:tabs>
        <w:ind w:left="709" w:hanging="709"/>
        <w:rPr>
          <w:sz w:val="24"/>
          <w:szCs w:val="24"/>
        </w:rPr>
      </w:pPr>
    </w:p>
    <w:p w14:paraId="165FD9FE" w14:textId="3C524573" w:rsidR="00A648BF" w:rsidRDefault="00E23014" w:rsidP="008E4D0B">
      <w:pPr>
        <w:tabs>
          <w:tab w:val="left" w:pos="720"/>
        </w:tabs>
        <w:ind w:left="709" w:hanging="709"/>
        <w:rPr>
          <w:sz w:val="24"/>
          <w:szCs w:val="24"/>
        </w:rPr>
      </w:pPr>
      <w:r>
        <w:rPr>
          <w:sz w:val="24"/>
          <w:szCs w:val="24"/>
        </w:rPr>
        <w:t>6</w:t>
      </w:r>
      <w:r w:rsidR="00B20B95">
        <w:rPr>
          <w:sz w:val="24"/>
          <w:szCs w:val="24"/>
        </w:rPr>
        <w:t>.5</w:t>
      </w:r>
      <w:r w:rsidR="00056230">
        <w:rPr>
          <w:sz w:val="24"/>
          <w:szCs w:val="24"/>
        </w:rPr>
        <w:tab/>
      </w:r>
      <w:r w:rsidR="004861FD">
        <w:rPr>
          <w:sz w:val="24"/>
          <w:szCs w:val="24"/>
        </w:rPr>
        <w:t>The Sav</w:t>
      </w:r>
      <w:r w:rsidR="00BE07A9">
        <w:rPr>
          <w:sz w:val="24"/>
          <w:szCs w:val="24"/>
        </w:rPr>
        <w:t>ills stock condition survey</w:t>
      </w:r>
      <w:r w:rsidR="004861FD">
        <w:rPr>
          <w:sz w:val="24"/>
          <w:szCs w:val="24"/>
        </w:rPr>
        <w:t xml:space="preserve"> include</w:t>
      </w:r>
      <w:r w:rsidR="00BE07A9">
        <w:rPr>
          <w:sz w:val="24"/>
          <w:szCs w:val="24"/>
        </w:rPr>
        <w:t>d</w:t>
      </w:r>
      <w:r w:rsidR="004861FD">
        <w:rPr>
          <w:sz w:val="24"/>
          <w:szCs w:val="24"/>
        </w:rPr>
        <w:t xml:space="preserve"> a partial survey of every block of</w:t>
      </w:r>
      <w:r w:rsidR="00BE07A9">
        <w:rPr>
          <w:sz w:val="24"/>
          <w:szCs w:val="24"/>
        </w:rPr>
        <w:t xml:space="preserve"> general needs flats, of which the council owns circa 350,</w:t>
      </w:r>
      <w:r w:rsidR="004861FD">
        <w:rPr>
          <w:sz w:val="24"/>
          <w:szCs w:val="24"/>
        </w:rPr>
        <w:t xml:space="preserve"> as a means of logging the presence of fire controls such as emergency lighting, fire detection and fire</w:t>
      </w:r>
      <w:r w:rsidR="00CC7C7B">
        <w:rPr>
          <w:sz w:val="24"/>
          <w:szCs w:val="24"/>
        </w:rPr>
        <w:t>-fighting equipment for example</w:t>
      </w:r>
      <w:r w:rsidR="00BE07A9">
        <w:rPr>
          <w:sz w:val="24"/>
          <w:szCs w:val="24"/>
        </w:rPr>
        <w:t>.  The information gathered</w:t>
      </w:r>
      <w:r w:rsidR="004861FD">
        <w:rPr>
          <w:sz w:val="24"/>
          <w:szCs w:val="24"/>
        </w:rPr>
        <w:t xml:space="preserve"> will assist the council in designing a programme of works to the blocks for the future and may also include wider refurbishment work as part of the housing capital programme.</w:t>
      </w:r>
    </w:p>
    <w:p w14:paraId="763A9599" w14:textId="77777777" w:rsidR="00056230" w:rsidRDefault="00056230" w:rsidP="008E4D0B">
      <w:pPr>
        <w:tabs>
          <w:tab w:val="left" w:pos="720"/>
        </w:tabs>
        <w:ind w:left="709" w:hanging="709"/>
        <w:rPr>
          <w:sz w:val="24"/>
          <w:szCs w:val="24"/>
        </w:rPr>
      </w:pPr>
    </w:p>
    <w:p w14:paraId="408A14DB" w14:textId="65641403" w:rsidR="00D5402F" w:rsidRPr="00CC7C7B" w:rsidRDefault="00E23014" w:rsidP="00CC7C7B">
      <w:pPr>
        <w:tabs>
          <w:tab w:val="left" w:pos="720"/>
        </w:tabs>
        <w:ind w:left="709" w:hanging="709"/>
        <w:rPr>
          <w:sz w:val="24"/>
          <w:szCs w:val="24"/>
        </w:rPr>
      </w:pPr>
      <w:r>
        <w:rPr>
          <w:sz w:val="24"/>
          <w:szCs w:val="24"/>
        </w:rPr>
        <w:t>6</w:t>
      </w:r>
      <w:r w:rsidR="00B20B95">
        <w:rPr>
          <w:sz w:val="24"/>
          <w:szCs w:val="24"/>
        </w:rPr>
        <w:t>.6</w:t>
      </w:r>
      <w:r w:rsidR="00056230">
        <w:rPr>
          <w:sz w:val="24"/>
          <w:szCs w:val="24"/>
        </w:rPr>
        <w:tab/>
      </w:r>
      <w:r w:rsidR="00006633">
        <w:rPr>
          <w:sz w:val="24"/>
          <w:szCs w:val="24"/>
        </w:rPr>
        <w:t xml:space="preserve">A total budget of </w:t>
      </w:r>
      <w:r w:rsidR="00056230">
        <w:rPr>
          <w:sz w:val="24"/>
          <w:szCs w:val="24"/>
        </w:rPr>
        <w:t>£8,92</w:t>
      </w:r>
      <w:r w:rsidR="00F83D1A">
        <w:rPr>
          <w:sz w:val="24"/>
          <w:szCs w:val="24"/>
        </w:rPr>
        <w:t>3,000 has been allocated from years</w:t>
      </w:r>
      <w:r w:rsidR="00056230">
        <w:rPr>
          <w:sz w:val="24"/>
          <w:szCs w:val="24"/>
        </w:rPr>
        <w:t xml:space="preserve"> 20/21 to 23/24 for the fire upgrade and refurbishment programme using known and estimated costs.</w:t>
      </w:r>
      <w:r w:rsidR="00CC7C7B">
        <w:rPr>
          <w:sz w:val="24"/>
          <w:szCs w:val="24"/>
        </w:rPr>
        <w:t xml:space="preserve"> </w:t>
      </w:r>
      <w:r w:rsidR="00D5402F">
        <w:rPr>
          <w:sz w:val="24"/>
          <w:szCs w:val="24"/>
        </w:rPr>
        <w:t>The current u</w:t>
      </w:r>
      <w:r w:rsidR="00D5402F" w:rsidRPr="004C61B5">
        <w:rPr>
          <w:rFonts w:cs="Arial"/>
          <w:sz w:val="24"/>
          <w:szCs w:val="24"/>
        </w:rPr>
        <w:t xml:space="preserve">pdate on the status of complexes upgrade and refurbishment </w:t>
      </w:r>
      <w:r w:rsidR="00D5402F">
        <w:rPr>
          <w:rFonts w:cs="Arial"/>
          <w:sz w:val="24"/>
          <w:szCs w:val="24"/>
        </w:rPr>
        <w:t>project is as follows:</w:t>
      </w:r>
    </w:p>
    <w:p w14:paraId="0C4EDC38" w14:textId="77777777" w:rsidR="00D5402F" w:rsidRPr="004C61B5" w:rsidRDefault="00D5402F" w:rsidP="00D5402F">
      <w:pPr>
        <w:rPr>
          <w:rFonts w:cs="Arial"/>
          <w:sz w:val="24"/>
          <w:szCs w:val="24"/>
        </w:rPr>
      </w:pPr>
    </w:p>
    <w:p w14:paraId="48630ED5" w14:textId="77777777" w:rsidR="00D5402F" w:rsidRDefault="00D5402F" w:rsidP="00D5402F">
      <w:pPr>
        <w:ind w:firstLine="709"/>
        <w:rPr>
          <w:rFonts w:cs="Arial"/>
          <w:sz w:val="24"/>
          <w:szCs w:val="24"/>
        </w:rPr>
      </w:pPr>
      <w:r w:rsidRPr="00FC005D">
        <w:rPr>
          <w:rFonts w:cs="Arial"/>
          <w:b/>
          <w:sz w:val="24"/>
          <w:szCs w:val="24"/>
        </w:rPr>
        <w:t>Willingham Court Phase 2</w:t>
      </w:r>
      <w:r w:rsidR="00CC7C7B">
        <w:rPr>
          <w:rFonts w:cs="Arial"/>
          <w:sz w:val="24"/>
          <w:szCs w:val="24"/>
        </w:rPr>
        <w:t xml:space="preserve"> </w:t>
      </w:r>
      <w:r w:rsidRPr="00FC005D">
        <w:rPr>
          <w:rFonts w:cs="Arial"/>
          <w:sz w:val="24"/>
          <w:szCs w:val="24"/>
        </w:rPr>
        <w:t xml:space="preserve"> </w:t>
      </w:r>
    </w:p>
    <w:p w14:paraId="1B3CEDF4" w14:textId="77777777" w:rsidR="00CC7C7B" w:rsidRPr="00FC005D" w:rsidRDefault="00CC7C7B" w:rsidP="00D5402F">
      <w:pPr>
        <w:ind w:firstLine="709"/>
        <w:rPr>
          <w:rFonts w:cs="Arial"/>
          <w:sz w:val="24"/>
          <w:szCs w:val="24"/>
        </w:rPr>
      </w:pPr>
    </w:p>
    <w:p w14:paraId="0B8164B0" w14:textId="77777777" w:rsidR="00FC005D" w:rsidRDefault="00D5402F" w:rsidP="00D5402F">
      <w:pPr>
        <w:ind w:left="709"/>
        <w:rPr>
          <w:rFonts w:cs="Arial"/>
          <w:sz w:val="24"/>
          <w:szCs w:val="24"/>
        </w:rPr>
      </w:pPr>
      <w:r w:rsidRPr="00FC005D">
        <w:rPr>
          <w:rFonts w:cs="Arial"/>
          <w:sz w:val="24"/>
          <w:szCs w:val="24"/>
        </w:rPr>
        <w:t xml:space="preserve">Works began on Site 2nd </w:t>
      </w:r>
      <w:r w:rsidR="00CC7C7B">
        <w:rPr>
          <w:rFonts w:cs="Arial"/>
          <w:sz w:val="24"/>
          <w:szCs w:val="24"/>
        </w:rPr>
        <w:t>August 2021 including:</w:t>
      </w:r>
    </w:p>
    <w:p w14:paraId="7E006C81" w14:textId="77777777" w:rsidR="00FC005D" w:rsidRPr="00FC005D" w:rsidRDefault="00FC005D" w:rsidP="00FC005D">
      <w:pPr>
        <w:pStyle w:val="ListParagraph"/>
        <w:numPr>
          <w:ilvl w:val="0"/>
          <w:numId w:val="2"/>
        </w:numPr>
        <w:jc w:val="left"/>
        <w:rPr>
          <w:rFonts w:cs="Arial"/>
          <w:sz w:val="24"/>
          <w:szCs w:val="24"/>
        </w:rPr>
      </w:pPr>
      <w:r w:rsidRPr="00FC005D">
        <w:rPr>
          <w:rFonts w:cs="Arial"/>
          <w:sz w:val="24"/>
          <w:szCs w:val="24"/>
        </w:rPr>
        <w:t>External works taking place of new ramps, new paths, improvements to bin store and buggy store.</w:t>
      </w:r>
    </w:p>
    <w:p w14:paraId="714F9662" w14:textId="77777777" w:rsidR="00FC005D" w:rsidRPr="00FC005D" w:rsidRDefault="00FC005D" w:rsidP="00FC005D">
      <w:pPr>
        <w:pStyle w:val="ListParagraph"/>
        <w:numPr>
          <w:ilvl w:val="0"/>
          <w:numId w:val="2"/>
        </w:numPr>
        <w:jc w:val="left"/>
        <w:rPr>
          <w:rFonts w:cs="Arial"/>
          <w:sz w:val="24"/>
          <w:szCs w:val="24"/>
        </w:rPr>
      </w:pPr>
      <w:r w:rsidRPr="00FC005D">
        <w:rPr>
          <w:rFonts w:cs="Arial"/>
          <w:sz w:val="24"/>
          <w:szCs w:val="24"/>
        </w:rPr>
        <w:t>Upgrade works to 10Nr dwelling units.</w:t>
      </w:r>
    </w:p>
    <w:p w14:paraId="154921D1" w14:textId="77777777" w:rsidR="00FC005D" w:rsidRPr="00FC005D" w:rsidRDefault="00FC005D" w:rsidP="00FC005D">
      <w:pPr>
        <w:pStyle w:val="ListParagraph"/>
        <w:numPr>
          <w:ilvl w:val="0"/>
          <w:numId w:val="2"/>
        </w:numPr>
        <w:jc w:val="left"/>
        <w:rPr>
          <w:rFonts w:cs="Arial"/>
          <w:sz w:val="24"/>
          <w:szCs w:val="24"/>
        </w:rPr>
      </w:pPr>
      <w:r w:rsidRPr="00FC005D">
        <w:rPr>
          <w:rFonts w:cs="Arial"/>
          <w:sz w:val="24"/>
          <w:szCs w:val="24"/>
        </w:rPr>
        <w:t>Common works to consist of new flooring, and upgrade to the laundry and a disabled WC.</w:t>
      </w:r>
    </w:p>
    <w:p w14:paraId="31A31E47" w14:textId="77777777" w:rsidR="00D5402F" w:rsidRPr="00FC005D" w:rsidRDefault="00D5402F" w:rsidP="00D5402F">
      <w:pPr>
        <w:rPr>
          <w:rFonts w:cs="Arial"/>
          <w:b/>
          <w:bCs/>
          <w:color w:val="2F5496"/>
          <w:sz w:val="24"/>
          <w:szCs w:val="24"/>
        </w:rPr>
      </w:pPr>
    </w:p>
    <w:p w14:paraId="59CD4AFB" w14:textId="77777777" w:rsidR="00D5402F" w:rsidRDefault="00CC7C7B" w:rsidP="00D5402F">
      <w:pPr>
        <w:ind w:firstLine="720"/>
        <w:rPr>
          <w:rFonts w:cs="Arial"/>
          <w:b/>
          <w:sz w:val="24"/>
          <w:szCs w:val="24"/>
        </w:rPr>
      </w:pPr>
      <w:r>
        <w:rPr>
          <w:rFonts w:cs="Arial"/>
          <w:b/>
          <w:sz w:val="24"/>
          <w:szCs w:val="24"/>
        </w:rPr>
        <w:t xml:space="preserve">Beech Court </w:t>
      </w:r>
    </w:p>
    <w:p w14:paraId="33C25A13" w14:textId="77777777" w:rsidR="00CC7C7B" w:rsidRPr="00FC005D" w:rsidRDefault="00CC7C7B" w:rsidP="00D5402F">
      <w:pPr>
        <w:ind w:firstLine="720"/>
        <w:rPr>
          <w:rFonts w:cs="Arial"/>
          <w:b/>
          <w:sz w:val="24"/>
          <w:szCs w:val="24"/>
        </w:rPr>
      </w:pPr>
    </w:p>
    <w:p w14:paraId="42064B0B" w14:textId="77777777" w:rsidR="00F21F45" w:rsidRPr="00FC005D" w:rsidRDefault="00F21F45" w:rsidP="00CC7C7B">
      <w:pPr>
        <w:ind w:left="720"/>
        <w:rPr>
          <w:rFonts w:cs="Arial"/>
          <w:sz w:val="24"/>
          <w:szCs w:val="24"/>
        </w:rPr>
      </w:pPr>
      <w:r w:rsidRPr="00FC005D">
        <w:rPr>
          <w:rFonts w:cs="Arial"/>
          <w:sz w:val="24"/>
          <w:szCs w:val="24"/>
        </w:rPr>
        <w:t>The tender process identified the preferred bidder to</w:t>
      </w:r>
      <w:r w:rsidR="00CC7C7B">
        <w:rPr>
          <w:rFonts w:cs="Arial"/>
          <w:sz w:val="24"/>
          <w:szCs w:val="24"/>
        </w:rPr>
        <w:t xml:space="preserve"> be Mercer Building Solutions. </w:t>
      </w:r>
      <w:r w:rsidR="00FC005D">
        <w:rPr>
          <w:rFonts w:cs="Arial"/>
          <w:sz w:val="24"/>
          <w:szCs w:val="24"/>
        </w:rPr>
        <w:t>Work commenced on the 30</w:t>
      </w:r>
      <w:r w:rsidR="00FC005D" w:rsidRPr="00FC005D">
        <w:rPr>
          <w:rFonts w:cs="Arial"/>
          <w:sz w:val="24"/>
          <w:szCs w:val="24"/>
          <w:vertAlign w:val="superscript"/>
        </w:rPr>
        <w:t>th</w:t>
      </w:r>
      <w:r w:rsidR="00CC7C7B">
        <w:rPr>
          <w:rFonts w:cs="Arial"/>
          <w:sz w:val="24"/>
          <w:szCs w:val="24"/>
        </w:rPr>
        <w:t xml:space="preserve"> Jan 2022 including</w:t>
      </w:r>
      <w:r w:rsidR="00FC005D">
        <w:rPr>
          <w:rFonts w:cs="Arial"/>
          <w:sz w:val="24"/>
          <w:szCs w:val="24"/>
        </w:rPr>
        <w:t xml:space="preserve"> internal work to void dwellings </w:t>
      </w:r>
      <w:r w:rsidR="00CC7C7B">
        <w:rPr>
          <w:rFonts w:cs="Arial"/>
          <w:sz w:val="24"/>
          <w:szCs w:val="24"/>
        </w:rPr>
        <w:t>and external works in progress with an e</w:t>
      </w:r>
      <w:r w:rsidRPr="00FC005D">
        <w:rPr>
          <w:rFonts w:cs="Arial"/>
          <w:sz w:val="24"/>
          <w:szCs w:val="24"/>
        </w:rPr>
        <w:t xml:space="preserve">xpected duration on site </w:t>
      </w:r>
      <w:r w:rsidR="00CC7C7B">
        <w:rPr>
          <w:rFonts w:cs="Arial"/>
          <w:sz w:val="24"/>
          <w:szCs w:val="24"/>
        </w:rPr>
        <w:t xml:space="preserve">of </w:t>
      </w:r>
      <w:r w:rsidRPr="00FC005D">
        <w:rPr>
          <w:rFonts w:cs="Arial"/>
          <w:sz w:val="24"/>
          <w:szCs w:val="24"/>
        </w:rPr>
        <w:t>52 weeks.</w:t>
      </w:r>
    </w:p>
    <w:p w14:paraId="0679AB0F" w14:textId="77777777" w:rsidR="00D5402F" w:rsidRPr="00FC005D" w:rsidRDefault="00D5402F" w:rsidP="00D5402F">
      <w:pPr>
        <w:rPr>
          <w:rFonts w:cs="Arial"/>
          <w:color w:val="2F5496"/>
          <w:sz w:val="24"/>
          <w:szCs w:val="24"/>
        </w:rPr>
      </w:pPr>
    </w:p>
    <w:p w14:paraId="04A40B8F" w14:textId="77777777" w:rsidR="00D5402F" w:rsidRDefault="00CC7C7B" w:rsidP="00D5402F">
      <w:pPr>
        <w:ind w:firstLine="720"/>
        <w:rPr>
          <w:rFonts w:cs="Arial"/>
          <w:b/>
          <w:sz w:val="24"/>
          <w:szCs w:val="24"/>
        </w:rPr>
      </w:pPr>
      <w:r>
        <w:rPr>
          <w:rFonts w:cs="Arial"/>
          <w:b/>
          <w:sz w:val="24"/>
          <w:szCs w:val="24"/>
        </w:rPr>
        <w:t xml:space="preserve">Roston Court </w:t>
      </w:r>
    </w:p>
    <w:p w14:paraId="245C2DC4" w14:textId="77777777" w:rsidR="00CC7C7B" w:rsidRPr="00FC005D" w:rsidRDefault="00CC7C7B" w:rsidP="00D5402F">
      <w:pPr>
        <w:ind w:firstLine="720"/>
        <w:rPr>
          <w:rFonts w:cs="Arial"/>
          <w:b/>
          <w:sz w:val="24"/>
          <w:szCs w:val="24"/>
        </w:rPr>
      </w:pPr>
    </w:p>
    <w:p w14:paraId="7F54703F" w14:textId="38DAA7E7" w:rsidR="00FC005D" w:rsidRPr="00FC005D" w:rsidRDefault="00385A2B" w:rsidP="00385A2B">
      <w:pPr>
        <w:ind w:left="720"/>
        <w:rPr>
          <w:rFonts w:cs="Arial"/>
          <w:color w:val="000000" w:themeColor="text1"/>
          <w:sz w:val="24"/>
          <w:szCs w:val="24"/>
        </w:rPr>
      </w:pPr>
      <w:r>
        <w:rPr>
          <w:rFonts w:cs="Arial"/>
          <w:color w:val="000000" w:themeColor="text1"/>
          <w:sz w:val="24"/>
          <w:szCs w:val="24"/>
        </w:rPr>
        <w:t xml:space="preserve">A tender competition has been undertaken with contracts </w:t>
      </w:r>
      <w:r w:rsidR="00FC005D" w:rsidRPr="00FC005D">
        <w:rPr>
          <w:rFonts w:cs="Arial"/>
          <w:color w:val="000000" w:themeColor="text1"/>
          <w:sz w:val="24"/>
          <w:szCs w:val="24"/>
        </w:rPr>
        <w:t>being</w:t>
      </w:r>
      <w:r w:rsidR="00CC7C7B">
        <w:rPr>
          <w:rFonts w:cs="Arial"/>
          <w:color w:val="000000" w:themeColor="text1"/>
          <w:sz w:val="24"/>
          <w:szCs w:val="24"/>
        </w:rPr>
        <w:t xml:space="preserve"> prepared </w:t>
      </w:r>
      <w:r>
        <w:rPr>
          <w:rFonts w:cs="Arial"/>
          <w:color w:val="000000" w:themeColor="text1"/>
          <w:sz w:val="24"/>
          <w:szCs w:val="24"/>
        </w:rPr>
        <w:t>and</w:t>
      </w:r>
      <w:r w:rsidR="00CC7C7B">
        <w:rPr>
          <w:rFonts w:cs="Arial"/>
          <w:color w:val="000000" w:themeColor="text1"/>
          <w:sz w:val="24"/>
          <w:szCs w:val="24"/>
        </w:rPr>
        <w:t xml:space="preserve"> an expected start on site from May 2022.</w:t>
      </w:r>
      <w:r>
        <w:rPr>
          <w:rFonts w:cs="Arial"/>
          <w:color w:val="000000" w:themeColor="text1"/>
          <w:sz w:val="24"/>
          <w:szCs w:val="24"/>
        </w:rPr>
        <w:t xml:space="preserve"> </w:t>
      </w:r>
    </w:p>
    <w:p w14:paraId="65631BFE" w14:textId="77777777" w:rsidR="00F21F45" w:rsidRPr="00FC005D" w:rsidRDefault="00F21F45" w:rsidP="00F21F45">
      <w:pPr>
        <w:ind w:left="720"/>
        <w:rPr>
          <w:rFonts w:cs="Arial"/>
          <w:sz w:val="24"/>
          <w:szCs w:val="24"/>
        </w:rPr>
      </w:pPr>
    </w:p>
    <w:p w14:paraId="2635C9E6" w14:textId="77777777" w:rsidR="00CC7C7B" w:rsidRDefault="00CC7C7B" w:rsidP="00CC7C7B">
      <w:pPr>
        <w:ind w:firstLine="720"/>
        <w:rPr>
          <w:rFonts w:cs="Arial"/>
          <w:b/>
          <w:sz w:val="24"/>
          <w:szCs w:val="24"/>
        </w:rPr>
      </w:pPr>
      <w:r>
        <w:rPr>
          <w:rFonts w:cs="Arial"/>
          <w:b/>
          <w:sz w:val="24"/>
          <w:szCs w:val="24"/>
        </w:rPr>
        <w:t xml:space="preserve">Tideswell Court </w:t>
      </w:r>
    </w:p>
    <w:p w14:paraId="788F423C" w14:textId="77777777" w:rsidR="00CC7C7B" w:rsidRPr="00FC005D" w:rsidRDefault="00CC7C7B" w:rsidP="00CC7C7B">
      <w:pPr>
        <w:ind w:firstLine="720"/>
        <w:rPr>
          <w:rFonts w:cs="Arial"/>
          <w:b/>
          <w:sz w:val="24"/>
          <w:szCs w:val="24"/>
        </w:rPr>
      </w:pPr>
    </w:p>
    <w:p w14:paraId="2AECF527" w14:textId="77777777" w:rsidR="00F21F45" w:rsidRDefault="00FC005D" w:rsidP="00CC7C7B">
      <w:pPr>
        <w:ind w:left="720"/>
        <w:rPr>
          <w:rFonts w:cs="Arial"/>
          <w:color w:val="000000" w:themeColor="text1"/>
          <w:sz w:val="24"/>
          <w:szCs w:val="24"/>
        </w:rPr>
      </w:pPr>
      <w:r w:rsidRPr="00FC005D">
        <w:rPr>
          <w:rFonts w:cs="Arial"/>
          <w:color w:val="000000" w:themeColor="text1"/>
          <w:sz w:val="24"/>
          <w:szCs w:val="24"/>
        </w:rPr>
        <w:t>Application for the procurement exercise was agreed on the 18</w:t>
      </w:r>
      <w:r w:rsidRPr="00FC005D">
        <w:rPr>
          <w:rFonts w:cs="Arial"/>
          <w:color w:val="000000" w:themeColor="text1"/>
          <w:sz w:val="24"/>
          <w:szCs w:val="24"/>
          <w:vertAlign w:val="superscript"/>
        </w:rPr>
        <w:t>th</w:t>
      </w:r>
      <w:r w:rsidRPr="00FC005D">
        <w:rPr>
          <w:rFonts w:cs="Arial"/>
          <w:color w:val="000000" w:themeColor="text1"/>
          <w:sz w:val="24"/>
          <w:szCs w:val="24"/>
        </w:rPr>
        <w:t xml:space="preserve"> Feb 2022. The scope of works and tender deliver</w:t>
      </w:r>
      <w:r w:rsidR="00CC7C7B">
        <w:rPr>
          <w:rFonts w:cs="Arial"/>
          <w:color w:val="000000" w:themeColor="text1"/>
          <w:sz w:val="24"/>
          <w:szCs w:val="24"/>
        </w:rPr>
        <w:t>y documents are being developed with an estimated p</w:t>
      </w:r>
      <w:r w:rsidR="00CC7C7B">
        <w:rPr>
          <w:rFonts w:cs="Arial"/>
          <w:sz w:val="24"/>
          <w:szCs w:val="24"/>
        </w:rPr>
        <w:t>rogrammed s</w:t>
      </w:r>
      <w:r w:rsidR="00F21F45" w:rsidRPr="00FC005D">
        <w:rPr>
          <w:rFonts w:cs="Arial"/>
          <w:sz w:val="24"/>
          <w:szCs w:val="24"/>
        </w:rPr>
        <w:t xml:space="preserve">tart on site </w:t>
      </w:r>
      <w:r w:rsidR="00CC7C7B">
        <w:rPr>
          <w:rFonts w:cs="Arial"/>
          <w:sz w:val="24"/>
          <w:szCs w:val="24"/>
        </w:rPr>
        <w:t xml:space="preserve">in August </w:t>
      </w:r>
      <w:r w:rsidR="00F21F45" w:rsidRPr="00FC005D">
        <w:rPr>
          <w:rFonts w:cs="Arial"/>
          <w:sz w:val="24"/>
          <w:szCs w:val="24"/>
        </w:rPr>
        <w:t>2022</w:t>
      </w:r>
      <w:r w:rsidR="00CC7C7B">
        <w:rPr>
          <w:rFonts w:cs="Arial"/>
          <w:color w:val="000000" w:themeColor="text1"/>
          <w:sz w:val="24"/>
          <w:szCs w:val="24"/>
        </w:rPr>
        <w:t>.</w:t>
      </w:r>
    </w:p>
    <w:p w14:paraId="5F85AEA9" w14:textId="77777777" w:rsidR="00CC7C7B" w:rsidRPr="00CC7C7B" w:rsidRDefault="00CC7C7B" w:rsidP="00CC7C7B">
      <w:pPr>
        <w:ind w:left="720"/>
        <w:rPr>
          <w:rFonts w:cs="Arial"/>
          <w:color w:val="000000" w:themeColor="text1"/>
          <w:sz w:val="24"/>
          <w:szCs w:val="24"/>
        </w:rPr>
      </w:pPr>
    </w:p>
    <w:p w14:paraId="268A6CE7" w14:textId="77777777" w:rsidR="00D5402F" w:rsidRDefault="00CC7C7B" w:rsidP="00D5402F">
      <w:pPr>
        <w:ind w:firstLine="720"/>
        <w:rPr>
          <w:rFonts w:cs="Arial"/>
          <w:b/>
          <w:sz w:val="24"/>
          <w:szCs w:val="24"/>
        </w:rPr>
      </w:pPr>
      <w:r>
        <w:rPr>
          <w:rFonts w:cs="Arial"/>
          <w:b/>
          <w:sz w:val="24"/>
          <w:szCs w:val="24"/>
        </w:rPr>
        <w:t xml:space="preserve">Future Works </w:t>
      </w:r>
    </w:p>
    <w:p w14:paraId="278095CA" w14:textId="77777777" w:rsidR="00CC7C7B" w:rsidRPr="004C61B5" w:rsidRDefault="00CC7C7B" w:rsidP="00D5402F">
      <w:pPr>
        <w:ind w:firstLine="720"/>
        <w:rPr>
          <w:rFonts w:cs="Arial"/>
          <w:b/>
          <w:sz w:val="24"/>
          <w:szCs w:val="24"/>
        </w:rPr>
      </w:pPr>
    </w:p>
    <w:p w14:paraId="0AFF1EE2" w14:textId="77777777" w:rsidR="00D5402F" w:rsidRPr="004C61B5" w:rsidRDefault="00D5402F" w:rsidP="00D5402F">
      <w:pPr>
        <w:ind w:left="720"/>
        <w:rPr>
          <w:rFonts w:cs="Arial"/>
          <w:sz w:val="24"/>
          <w:szCs w:val="24"/>
        </w:rPr>
      </w:pPr>
      <w:r w:rsidRPr="004C61B5">
        <w:rPr>
          <w:rFonts w:cs="Arial"/>
          <w:sz w:val="24"/>
          <w:szCs w:val="24"/>
        </w:rPr>
        <w:t>New England Way and Vale Court will be prepared and drafted up in the future.</w:t>
      </w:r>
    </w:p>
    <w:p w14:paraId="785075ED" w14:textId="77777777" w:rsidR="00006633" w:rsidRDefault="00056230" w:rsidP="008E4D0B">
      <w:pPr>
        <w:tabs>
          <w:tab w:val="left" w:pos="720"/>
        </w:tabs>
        <w:ind w:left="709" w:hanging="709"/>
        <w:rPr>
          <w:sz w:val="24"/>
          <w:szCs w:val="24"/>
        </w:rPr>
      </w:pPr>
      <w:r>
        <w:rPr>
          <w:sz w:val="24"/>
          <w:szCs w:val="24"/>
        </w:rPr>
        <w:t xml:space="preserve"> </w:t>
      </w:r>
    </w:p>
    <w:p w14:paraId="41C8FD48" w14:textId="77777777" w:rsidR="00A648BF" w:rsidRPr="000E0A57" w:rsidRDefault="00A648BF" w:rsidP="00A648BF">
      <w:pPr>
        <w:tabs>
          <w:tab w:val="left" w:pos="720"/>
        </w:tabs>
        <w:ind w:left="720" w:hanging="720"/>
        <w:rPr>
          <w:rFonts w:cs="Arial"/>
          <w:sz w:val="24"/>
          <w:szCs w:val="24"/>
        </w:rPr>
      </w:pPr>
    </w:p>
    <w:p w14:paraId="56A99A7B" w14:textId="54DE0987" w:rsidR="00A648BF" w:rsidRDefault="00E23014" w:rsidP="00A648BF">
      <w:pPr>
        <w:tabs>
          <w:tab w:val="left" w:pos="720"/>
        </w:tabs>
        <w:ind w:left="720" w:hanging="720"/>
        <w:rPr>
          <w:rFonts w:cs="Arial"/>
          <w:sz w:val="24"/>
          <w:szCs w:val="24"/>
        </w:rPr>
      </w:pPr>
      <w:r>
        <w:rPr>
          <w:rFonts w:cs="Arial"/>
          <w:sz w:val="24"/>
          <w:szCs w:val="24"/>
        </w:rPr>
        <w:t>6</w:t>
      </w:r>
      <w:r w:rsidR="00B20B95">
        <w:rPr>
          <w:rFonts w:cs="Arial"/>
          <w:sz w:val="24"/>
          <w:szCs w:val="24"/>
        </w:rPr>
        <w:t>.7</w:t>
      </w:r>
      <w:r w:rsidR="00056230">
        <w:rPr>
          <w:rFonts w:cs="Arial"/>
          <w:sz w:val="24"/>
          <w:szCs w:val="24"/>
        </w:rPr>
        <w:tab/>
      </w:r>
      <w:r w:rsidR="00A648BF" w:rsidRPr="00714B52">
        <w:rPr>
          <w:rFonts w:cs="Arial"/>
          <w:sz w:val="24"/>
          <w:szCs w:val="24"/>
        </w:rPr>
        <w:t>Actions arising from fire risk assessments</w:t>
      </w:r>
      <w:r w:rsidR="00056230">
        <w:rPr>
          <w:rFonts w:cs="Arial"/>
          <w:sz w:val="24"/>
          <w:szCs w:val="24"/>
        </w:rPr>
        <w:t>, aside from the fire upgrades of sheltered schemes and blocks of flats,</w:t>
      </w:r>
      <w:r w:rsidR="00A648BF">
        <w:rPr>
          <w:rFonts w:cs="Arial"/>
          <w:sz w:val="24"/>
          <w:szCs w:val="24"/>
        </w:rPr>
        <w:t xml:space="preserve"> will be packaged into their various categories such as management, fire detection, door maintenance </w:t>
      </w:r>
      <w:r w:rsidR="00AC1034">
        <w:rPr>
          <w:rFonts w:cs="Arial"/>
          <w:sz w:val="24"/>
          <w:szCs w:val="24"/>
        </w:rPr>
        <w:t>etc.</w:t>
      </w:r>
      <w:r w:rsidR="00A648BF">
        <w:rPr>
          <w:rFonts w:cs="Arial"/>
          <w:sz w:val="24"/>
          <w:szCs w:val="24"/>
        </w:rPr>
        <w:t xml:space="preserve"> and a programme of both reactive and planned remediation works established. </w:t>
      </w:r>
    </w:p>
    <w:p w14:paraId="43984D08" w14:textId="77777777" w:rsidR="00A648BF" w:rsidRDefault="00A648BF" w:rsidP="00A648BF">
      <w:pPr>
        <w:tabs>
          <w:tab w:val="left" w:pos="720"/>
        </w:tabs>
        <w:ind w:left="720" w:hanging="720"/>
        <w:rPr>
          <w:rFonts w:cs="Arial"/>
          <w:sz w:val="24"/>
          <w:szCs w:val="24"/>
        </w:rPr>
      </w:pPr>
    </w:p>
    <w:p w14:paraId="44CFF868" w14:textId="77777777" w:rsidR="00AC1034" w:rsidRDefault="00AC1034" w:rsidP="00A648BF">
      <w:pPr>
        <w:tabs>
          <w:tab w:val="left" w:pos="720"/>
        </w:tabs>
        <w:ind w:left="720" w:hanging="720"/>
        <w:rPr>
          <w:sz w:val="24"/>
          <w:szCs w:val="24"/>
        </w:rPr>
      </w:pPr>
    </w:p>
    <w:p w14:paraId="79799913" w14:textId="7E25244F" w:rsidR="00A648BF" w:rsidRDefault="00E23014" w:rsidP="00A648BF">
      <w:pPr>
        <w:rPr>
          <w:sz w:val="24"/>
          <w:szCs w:val="24"/>
        </w:rPr>
      </w:pPr>
      <w:r>
        <w:rPr>
          <w:b/>
          <w:sz w:val="24"/>
          <w:szCs w:val="24"/>
        </w:rPr>
        <w:t>7</w:t>
      </w:r>
      <w:r w:rsidR="00B20B95">
        <w:rPr>
          <w:b/>
          <w:sz w:val="24"/>
          <w:szCs w:val="24"/>
        </w:rPr>
        <w:tab/>
      </w:r>
      <w:r w:rsidR="0072223C" w:rsidRPr="00973B86">
        <w:rPr>
          <w:b/>
          <w:sz w:val="24"/>
          <w:szCs w:val="24"/>
        </w:rPr>
        <w:t>Electrical Testing</w:t>
      </w:r>
    </w:p>
    <w:p w14:paraId="48F2724D" w14:textId="77777777" w:rsidR="00A648BF" w:rsidRDefault="00A648BF" w:rsidP="00A648BF">
      <w:pPr>
        <w:pStyle w:val="Default"/>
        <w:ind w:left="720"/>
        <w:jc w:val="both"/>
        <w:rPr>
          <w:rFonts w:ascii="Arial" w:hAnsi="Arial" w:cs="Arial"/>
        </w:rPr>
      </w:pPr>
    </w:p>
    <w:p w14:paraId="1817CC51" w14:textId="129A9112" w:rsidR="00A648BF" w:rsidRPr="003E3D16" w:rsidRDefault="00E23014" w:rsidP="0072223C">
      <w:pPr>
        <w:tabs>
          <w:tab w:val="left" w:pos="720"/>
        </w:tabs>
        <w:ind w:left="720" w:hanging="720"/>
        <w:rPr>
          <w:sz w:val="24"/>
          <w:szCs w:val="24"/>
        </w:rPr>
      </w:pPr>
      <w:r>
        <w:rPr>
          <w:sz w:val="24"/>
          <w:szCs w:val="24"/>
        </w:rPr>
        <w:t>7</w:t>
      </w:r>
      <w:r w:rsidR="00B20B95">
        <w:rPr>
          <w:sz w:val="24"/>
          <w:szCs w:val="24"/>
        </w:rPr>
        <w:t>.1</w:t>
      </w:r>
      <w:r w:rsidR="00A648BF">
        <w:rPr>
          <w:sz w:val="24"/>
          <w:szCs w:val="24"/>
        </w:rPr>
        <w:t xml:space="preserve"> </w:t>
      </w:r>
      <w:r w:rsidR="00A648BF" w:rsidRPr="00E10F3C">
        <w:rPr>
          <w:sz w:val="24"/>
          <w:szCs w:val="24"/>
        </w:rPr>
        <w:tab/>
      </w:r>
      <w:r w:rsidR="003E3D16">
        <w:rPr>
          <w:sz w:val="24"/>
          <w:szCs w:val="24"/>
        </w:rPr>
        <w:t>In line with the council’s landlord repairing obligations in the Housing Act 1985 and the requirements of the Homes (Fitness for Human Habitation) Act 2018, the council is required to ensure that electrical installations within domestic dwellings are tested and deemed safe prior to any tenancy beginning.</w:t>
      </w:r>
      <w:r w:rsidR="0072223C">
        <w:rPr>
          <w:sz w:val="24"/>
          <w:szCs w:val="24"/>
        </w:rPr>
        <w:t xml:space="preserve"> </w:t>
      </w:r>
      <w:r w:rsidR="00A648BF" w:rsidRPr="003E3D16">
        <w:rPr>
          <w:sz w:val="24"/>
          <w:szCs w:val="24"/>
        </w:rPr>
        <w:t xml:space="preserve">The electrical team within the Housing Repairs service are responsible for overseeing </w:t>
      </w:r>
      <w:r w:rsidR="003E3D16">
        <w:rPr>
          <w:sz w:val="24"/>
          <w:szCs w:val="24"/>
        </w:rPr>
        <w:t xml:space="preserve">and managing </w:t>
      </w:r>
      <w:r w:rsidR="00A648BF" w:rsidRPr="003E3D16">
        <w:rPr>
          <w:sz w:val="24"/>
          <w:szCs w:val="24"/>
        </w:rPr>
        <w:t xml:space="preserve">regular Electrical Installation Condition Reports (EICR’s).  </w:t>
      </w:r>
    </w:p>
    <w:p w14:paraId="6405F8D2" w14:textId="77777777" w:rsidR="003E3D16" w:rsidRPr="003E3D16" w:rsidRDefault="003E3D16" w:rsidP="00A648BF">
      <w:pPr>
        <w:ind w:left="709"/>
        <w:rPr>
          <w:sz w:val="24"/>
          <w:szCs w:val="24"/>
        </w:rPr>
      </w:pPr>
    </w:p>
    <w:p w14:paraId="54276F5F" w14:textId="6AA14515" w:rsidR="00D21682" w:rsidRDefault="00E23014" w:rsidP="0072223C">
      <w:pPr>
        <w:ind w:left="709" w:hanging="709"/>
        <w:rPr>
          <w:sz w:val="24"/>
          <w:szCs w:val="24"/>
        </w:rPr>
      </w:pPr>
      <w:r>
        <w:rPr>
          <w:rFonts w:cs="Arial"/>
          <w:iCs/>
          <w:color w:val="000000"/>
          <w:sz w:val="24"/>
          <w:szCs w:val="24"/>
        </w:rPr>
        <w:t>7</w:t>
      </w:r>
      <w:r w:rsidR="00B20B95">
        <w:rPr>
          <w:rFonts w:cs="Arial"/>
          <w:iCs/>
          <w:color w:val="000000"/>
          <w:sz w:val="24"/>
          <w:szCs w:val="24"/>
        </w:rPr>
        <w:t>.2</w:t>
      </w:r>
      <w:r w:rsidR="0072223C">
        <w:rPr>
          <w:rFonts w:cs="Arial"/>
          <w:iCs/>
          <w:color w:val="000000"/>
          <w:sz w:val="24"/>
          <w:szCs w:val="24"/>
        </w:rPr>
        <w:tab/>
      </w:r>
      <w:r w:rsidR="003E3D16" w:rsidRPr="003E3D16">
        <w:rPr>
          <w:rFonts w:cs="Arial"/>
          <w:iCs/>
          <w:color w:val="000000"/>
          <w:sz w:val="24"/>
          <w:szCs w:val="24"/>
        </w:rPr>
        <w:t xml:space="preserve">The allocated budget for electrical testing and compliance works is typically </w:t>
      </w:r>
      <w:r w:rsidR="0072223C">
        <w:rPr>
          <w:rFonts w:cs="Arial"/>
          <w:iCs/>
          <w:color w:val="000000"/>
          <w:sz w:val="24"/>
          <w:szCs w:val="24"/>
        </w:rPr>
        <w:t>£450,000</w:t>
      </w:r>
      <w:r w:rsidR="003E3D16" w:rsidRPr="003E3D16">
        <w:rPr>
          <w:rFonts w:cs="Arial"/>
          <w:iCs/>
          <w:color w:val="000000"/>
          <w:sz w:val="24"/>
          <w:szCs w:val="24"/>
        </w:rPr>
        <w:t xml:space="preserve"> per year. Due to </w:t>
      </w:r>
      <w:r w:rsidR="00847364" w:rsidRPr="003E3D16">
        <w:rPr>
          <w:rFonts w:cs="Arial"/>
          <w:iCs/>
          <w:color w:val="000000"/>
          <w:sz w:val="24"/>
          <w:szCs w:val="24"/>
        </w:rPr>
        <w:t>slippage</w:t>
      </w:r>
      <w:r w:rsidR="0022302F">
        <w:rPr>
          <w:rFonts w:cs="Arial"/>
          <w:iCs/>
          <w:color w:val="000000"/>
          <w:sz w:val="24"/>
          <w:szCs w:val="24"/>
        </w:rPr>
        <w:t xml:space="preserve"> caused by the impact of Covid</w:t>
      </w:r>
      <w:r w:rsidR="00847364" w:rsidRPr="003E3D16">
        <w:rPr>
          <w:rFonts w:cs="Arial"/>
          <w:iCs/>
          <w:color w:val="000000"/>
          <w:sz w:val="24"/>
          <w:szCs w:val="24"/>
        </w:rPr>
        <w:t>,</w:t>
      </w:r>
      <w:r w:rsidR="0022302F">
        <w:rPr>
          <w:rFonts w:cs="Arial"/>
          <w:iCs/>
          <w:color w:val="000000"/>
          <w:sz w:val="24"/>
          <w:szCs w:val="24"/>
        </w:rPr>
        <w:t xml:space="preserve"> which included contractors placing staff on furlough as well as restricted access to properties</w:t>
      </w:r>
      <w:r w:rsidR="003E3D16" w:rsidRPr="003E3D16">
        <w:rPr>
          <w:rFonts w:cs="Arial"/>
          <w:iCs/>
          <w:color w:val="000000"/>
          <w:sz w:val="24"/>
          <w:szCs w:val="24"/>
        </w:rPr>
        <w:t xml:space="preserve"> the c</w:t>
      </w:r>
      <w:r w:rsidR="00D21682">
        <w:rPr>
          <w:rFonts w:cs="Arial"/>
          <w:iCs/>
          <w:color w:val="000000"/>
          <w:sz w:val="24"/>
          <w:szCs w:val="24"/>
        </w:rPr>
        <w:t>urrent budget for 21/22 is £571,814</w:t>
      </w:r>
      <w:r w:rsidR="003E3D16" w:rsidRPr="003E3D16">
        <w:rPr>
          <w:rFonts w:cs="Arial"/>
          <w:iCs/>
          <w:color w:val="000000"/>
          <w:sz w:val="24"/>
          <w:szCs w:val="24"/>
        </w:rPr>
        <w:t xml:space="preserve"> which incl</w:t>
      </w:r>
      <w:r w:rsidR="0072223C">
        <w:rPr>
          <w:rFonts w:cs="Arial"/>
          <w:iCs/>
          <w:color w:val="000000"/>
          <w:sz w:val="24"/>
          <w:szCs w:val="24"/>
        </w:rPr>
        <w:t>udes carry forwards from 20/21.</w:t>
      </w:r>
      <w:r w:rsidR="00892467">
        <w:rPr>
          <w:rFonts w:cs="Arial"/>
          <w:iCs/>
          <w:color w:val="000000"/>
          <w:sz w:val="24"/>
          <w:szCs w:val="24"/>
        </w:rPr>
        <w:t xml:space="preserve"> </w:t>
      </w:r>
      <w:r w:rsidR="0072223C">
        <w:rPr>
          <w:rFonts w:cs="Arial"/>
          <w:iCs/>
          <w:color w:val="000000"/>
          <w:sz w:val="24"/>
          <w:szCs w:val="24"/>
        </w:rPr>
        <w:t>T</w:t>
      </w:r>
      <w:r w:rsidR="003E3D16" w:rsidRPr="003E3D16">
        <w:rPr>
          <w:rFonts w:cs="Arial"/>
          <w:iCs/>
          <w:color w:val="000000"/>
          <w:sz w:val="24"/>
          <w:szCs w:val="24"/>
        </w:rPr>
        <w:t>his</w:t>
      </w:r>
      <w:r w:rsidR="0072223C">
        <w:rPr>
          <w:rFonts w:cs="Arial"/>
          <w:iCs/>
          <w:color w:val="000000"/>
          <w:sz w:val="24"/>
          <w:szCs w:val="24"/>
        </w:rPr>
        <w:t xml:space="preserve"> budget</w:t>
      </w:r>
      <w:r w:rsidR="003E3D16" w:rsidRPr="003E3D16">
        <w:rPr>
          <w:rFonts w:cs="Arial"/>
          <w:iCs/>
          <w:color w:val="000000"/>
          <w:sz w:val="24"/>
          <w:szCs w:val="24"/>
        </w:rPr>
        <w:t xml:space="preserve"> is for the programme of electrical testing and dealing with any required</w:t>
      </w:r>
      <w:r w:rsidR="003E3D16">
        <w:rPr>
          <w:rFonts w:cs="Arial"/>
          <w:iCs/>
          <w:color w:val="000000"/>
          <w:sz w:val="24"/>
          <w:szCs w:val="24"/>
        </w:rPr>
        <w:t xml:space="preserve"> compliance</w:t>
      </w:r>
      <w:r w:rsidR="003E3D16" w:rsidRPr="003E3D16">
        <w:rPr>
          <w:rFonts w:cs="Arial"/>
          <w:iCs/>
          <w:color w:val="000000"/>
          <w:sz w:val="24"/>
          <w:szCs w:val="24"/>
        </w:rPr>
        <w:t xml:space="preserve"> w</w:t>
      </w:r>
      <w:r w:rsidR="003E3D16">
        <w:rPr>
          <w:rFonts w:cs="Arial"/>
          <w:iCs/>
          <w:color w:val="000000"/>
          <w:sz w:val="24"/>
          <w:szCs w:val="24"/>
        </w:rPr>
        <w:t>orks as a result of the testing.</w:t>
      </w:r>
      <w:r w:rsidR="0072223C">
        <w:rPr>
          <w:sz w:val="24"/>
          <w:szCs w:val="24"/>
        </w:rPr>
        <w:t xml:space="preserve"> </w:t>
      </w:r>
      <w:r w:rsidR="003E3D16">
        <w:rPr>
          <w:sz w:val="24"/>
          <w:szCs w:val="24"/>
        </w:rPr>
        <w:t xml:space="preserve">All housing stock is included within this electrical testing programme.  All certificates come into the DMS </w:t>
      </w:r>
      <w:r w:rsidR="00862507">
        <w:rPr>
          <w:sz w:val="24"/>
          <w:szCs w:val="24"/>
        </w:rPr>
        <w:t>(Document Management System)</w:t>
      </w:r>
      <w:r w:rsidR="003E3D16">
        <w:rPr>
          <w:sz w:val="24"/>
          <w:szCs w:val="24"/>
        </w:rPr>
        <w:t xml:space="preserve"> and this gives information on the work required and how urgent the work is.  </w:t>
      </w:r>
    </w:p>
    <w:p w14:paraId="07E87C9C" w14:textId="77777777" w:rsidR="00D21682" w:rsidRDefault="00D21682" w:rsidP="0072223C">
      <w:pPr>
        <w:ind w:left="709" w:hanging="709"/>
        <w:rPr>
          <w:sz w:val="24"/>
          <w:szCs w:val="24"/>
        </w:rPr>
      </w:pPr>
      <w:r>
        <w:rPr>
          <w:sz w:val="24"/>
          <w:szCs w:val="24"/>
        </w:rPr>
        <w:tab/>
      </w:r>
    </w:p>
    <w:p w14:paraId="7D013221" w14:textId="77777777" w:rsidR="00D21682" w:rsidRDefault="00D21682" w:rsidP="0072223C">
      <w:pPr>
        <w:ind w:left="709" w:hanging="709"/>
        <w:rPr>
          <w:sz w:val="24"/>
          <w:szCs w:val="24"/>
        </w:rPr>
      </w:pPr>
      <w:r>
        <w:rPr>
          <w:sz w:val="24"/>
          <w:szCs w:val="24"/>
        </w:rPr>
        <w:tab/>
        <w:t xml:space="preserve">The electrical testing programme is managed by our Electrical Manager with the </w:t>
      </w:r>
      <w:r w:rsidR="000E1E81">
        <w:rPr>
          <w:sz w:val="24"/>
          <w:szCs w:val="24"/>
        </w:rPr>
        <w:t xml:space="preserve">testing works contracted to PK Group. The findings from the test report dictate future programmes of work where upgrades and remedial works are required. </w:t>
      </w:r>
    </w:p>
    <w:p w14:paraId="31ED0471" w14:textId="77777777" w:rsidR="00D21682" w:rsidRDefault="00D21682" w:rsidP="0072223C">
      <w:pPr>
        <w:ind w:left="709" w:hanging="709"/>
        <w:rPr>
          <w:sz w:val="24"/>
          <w:szCs w:val="24"/>
        </w:rPr>
      </w:pPr>
    </w:p>
    <w:p w14:paraId="6CD01E9E" w14:textId="77777777" w:rsidR="003E3D16" w:rsidRDefault="003E3D16" w:rsidP="00D21682">
      <w:pPr>
        <w:ind w:left="709"/>
        <w:rPr>
          <w:sz w:val="24"/>
          <w:szCs w:val="24"/>
        </w:rPr>
      </w:pPr>
      <w:r>
        <w:rPr>
          <w:sz w:val="24"/>
          <w:szCs w:val="24"/>
        </w:rPr>
        <w:t>Work is categorised into Code 1’s, 2’s and 3’s with an explanation of the code categories shown below:</w:t>
      </w:r>
    </w:p>
    <w:p w14:paraId="07337CC0" w14:textId="77777777" w:rsidR="003E3D16" w:rsidRDefault="003E3D16" w:rsidP="003E3D16">
      <w:pPr>
        <w:rPr>
          <w:sz w:val="24"/>
          <w:szCs w:val="24"/>
        </w:rPr>
      </w:pPr>
    </w:p>
    <w:p w14:paraId="5D459436" w14:textId="77777777" w:rsidR="003E3D16" w:rsidRDefault="003E3D16" w:rsidP="003E3D16">
      <w:pPr>
        <w:rPr>
          <w:sz w:val="24"/>
          <w:szCs w:val="24"/>
        </w:rPr>
      </w:pPr>
    </w:p>
    <w:p w14:paraId="5153B9E0" w14:textId="77777777" w:rsidR="003E3D16" w:rsidRDefault="003E3D16" w:rsidP="003E3D16">
      <w:pPr>
        <w:ind w:left="2160" w:hanging="1440"/>
        <w:rPr>
          <w:sz w:val="24"/>
          <w:szCs w:val="24"/>
        </w:rPr>
      </w:pPr>
      <w:r>
        <w:rPr>
          <w:sz w:val="24"/>
          <w:szCs w:val="24"/>
        </w:rPr>
        <w:t>Code 1</w:t>
      </w:r>
      <w:r>
        <w:rPr>
          <w:sz w:val="24"/>
          <w:szCs w:val="24"/>
        </w:rPr>
        <w:tab/>
        <w:t>Danger Present, requires immediate remedial action.  Remedied usually by the person carrying out the test.</w:t>
      </w:r>
    </w:p>
    <w:p w14:paraId="140EB38C" w14:textId="77777777" w:rsidR="003E3D16" w:rsidRDefault="003E3D16" w:rsidP="003E3D16">
      <w:pPr>
        <w:rPr>
          <w:sz w:val="24"/>
          <w:szCs w:val="24"/>
        </w:rPr>
      </w:pPr>
    </w:p>
    <w:p w14:paraId="130ACE4A" w14:textId="77777777" w:rsidR="003E3D16" w:rsidRDefault="003E3D16" w:rsidP="003E3D16">
      <w:pPr>
        <w:ind w:left="2160" w:hanging="1434"/>
        <w:rPr>
          <w:sz w:val="24"/>
          <w:szCs w:val="24"/>
        </w:rPr>
      </w:pPr>
      <w:r>
        <w:rPr>
          <w:sz w:val="24"/>
          <w:szCs w:val="24"/>
        </w:rPr>
        <w:t>Code 2</w:t>
      </w:r>
      <w:r>
        <w:rPr>
          <w:sz w:val="24"/>
          <w:szCs w:val="24"/>
        </w:rPr>
        <w:tab/>
        <w:t>Whilst there is a deficiency it is not considered to be dangerous at the time of the periodic inspection.</w:t>
      </w:r>
    </w:p>
    <w:p w14:paraId="2098AADA" w14:textId="77777777" w:rsidR="003E3D16" w:rsidRDefault="003E3D16" w:rsidP="003E3D16">
      <w:pPr>
        <w:ind w:left="2160" w:hanging="1434"/>
        <w:rPr>
          <w:sz w:val="24"/>
          <w:szCs w:val="24"/>
        </w:rPr>
      </w:pPr>
    </w:p>
    <w:p w14:paraId="1BDF28FE" w14:textId="77777777" w:rsidR="003E3D16" w:rsidRDefault="003E3D16" w:rsidP="003E3D16">
      <w:pPr>
        <w:ind w:left="2160" w:hanging="1434"/>
        <w:rPr>
          <w:sz w:val="24"/>
          <w:szCs w:val="24"/>
        </w:rPr>
      </w:pPr>
      <w:r>
        <w:rPr>
          <w:sz w:val="24"/>
          <w:szCs w:val="24"/>
        </w:rPr>
        <w:t>Code 3</w:t>
      </w:r>
      <w:r>
        <w:rPr>
          <w:sz w:val="24"/>
          <w:szCs w:val="24"/>
        </w:rPr>
        <w:tab/>
        <w:t>Improvement would contribute to a significant enhancement of the safety of the electrical installation.</w:t>
      </w:r>
    </w:p>
    <w:p w14:paraId="5B3449CD" w14:textId="77777777" w:rsidR="003E3D16" w:rsidRDefault="003E3D16" w:rsidP="00A648BF">
      <w:pPr>
        <w:ind w:left="709" w:hanging="709"/>
        <w:rPr>
          <w:sz w:val="24"/>
          <w:szCs w:val="24"/>
        </w:rPr>
      </w:pPr>
    </w:p>
    <w:p w14:paraId="000019CA" w14:textId="77777777" w:rsidR="00751EC9" w:rsidRDefault="00751EC9" w:rsidP="00751EC9">
      <w:pPr>
        <w:rPr>
          <w:sz w:val="24"/>
          <w:szCs w:val="24"/>
        </w:rPr>
      </w:pPr>
    </w:p>
    <w:p w14:paraId="1EEA0578" w14:textId="31AB5C5E" w:rsidR="00751EC9" w:rsidRDefault="00E23014" w:rsidP="00751EC9">
      <w:pPr>
        <w:ind w:left="709" w:hanging="709"/>
        <w:rPr>
          <w:sz w:val="24"/>
          <w:szCs w:val="24"/>
        </w:rPr>
      </w:pPr>
      <w:r>
        <w:rPr>
          <w:sz w:val="24"/>
          <w:szCs w:val="24"/>
        </w:rPr>
        <w:t>7</w:t>
      </w:r>
      <w:r w:rsidR="00B20B95">
        <w:rPr>
          <w:sz w:val="24"/>
          <w:szCs w:val="24"/>
        </w:rPr>
        <w:t>.3</w:t>
      </w:r>
      <w:r w:rsidR="00751EC9">
        <w:rPr>
          <w:sz w:val="24"/>
          <w:szCs w:val="24"/>
        </w:rPr>
        <w:tab/>
        <w:t>Electrical safety will also be included within the Savills Compliance Review in terms of policy and procedure to ensure the council complies with all current legislation and good practice from other councils.</w:t>
      </w:r>
    </w:p>
    <w:p w14:paraId="12E09115" w14:textId="77777777" w:rsidR="00751EC9" w:rsidRPr="003E3D16" w:rsidRDefault="00751EC9" w:rsidP="00A648BF">
      <w:pPr>
        <w:ind w:left="709" w:hanging="709"/>
        <w:rPr>
          <w:sz w:val="24"/>
          <w:szCs w:val="24"/>
        </w:rPr>
      </w:pPr>
    </w:p>
    <w:p w14:paraId="4C2A94A4" w14:textId="77777777" w:rsidR="00A648BF" w:rsidRDefault="00A648BF" w:rsidP="00A648BF">
      <w:pPr>
        <w:rPr>
          <w:sz w:val="24"/>
          <w:szCs w:val="24"/>
        </w:rPr>
      </w:pPr>
    </w:p>
    <w:p w14:paraId="18953265" w14:textId="1546C020" w:rsidR="00A648BF" w:rsidRPr="00973B86" w:rsidRDefault="00E23014" w:rsidP="00A648BF">
      <w:pPr>
        <w:rPr>
          <w:b/>
          <w:sz w:val="24"/>
          <w:szCs w:val="24"/>
        </w:rPr>
      </w:pPr>
      <w:r>
        <w:rPr>
          <w:b/>
          <w:sz w:val="24"/>
          <w:szCs w:val="24"/>
        </w:rPr>
        <w:t>8</w:t>
      </w:r>
      <w:r w:rsidR="00B20B95">
        <w:rPr>
          <w:b/>
          <w:sz w:val="24"/>
          <w:szCs w:val="24"/>
        </w:rPr>
        <w:tab/>
      </w:r>
      <w:r w:rsidR="00A648BF" w:rsidRPr="00973B86">
        <w:rPr>
          <w:b/>
          <w:sz w:val="24"/>
          <w:szCs w:val="24"/>
        </w:rPr>
        <w:t>Gas Servicing</w:t>
      </w:r>
    </w:p>
    <w:p w14:paraId="2EBB05DD" w14:textId="77777777" w:rsidR="00A648BF" w:rsidRPr="00BF15F7" w:rsidRDefault="00A648BF" w:rsidP="00A648BF">
      <w:pPr>
        <w:rPr>
          <w:sz w:val="24"/>
          <w:szCs w:val="24"/>
        </w:rPr>
      </w:pPr>
    </w:p>
    <w:p w14:paraId="57DCB977" w14:textId="7118E87B" w:rsidR="00FB1228" w:rsidRDefault="00E23014" w:rsidP="00FB1228">
      <w:pPr>
        <w:ind w:left="720" w:hanging="720"/>
        <w:rPr>
          <w:sz w:val="24"/>
          <w:szCs w:val="24"/>
        </w:rPr>
      </w:pPr>
      <w:r>
        <w:rPr>
          <w:sz w:val="24"/>
          <w:szCs w:val="24"/>
        </w:rPr>
        <w:t>8</w:t>
      </w:r>
      <w:r w:rsidR="00B20B95">
        <w:rPr>
          <w:sz w:val="24"/>
          <w:szCs w:val="24"/>
        </w:rPr>
        <w:t>.1</w:t>
      </w:r>
      <w:r w:rsidR="00751EC9">
        <w:rPr>
          <w:sz w:val="24"/>
          <w:szCs w:val="24"/>
        </w:rPr>
        <w:tab/>
      </w:r>
      <w:r w:rsidR="00A648BF">
        <w:rPr>
          <w:sz w:val="24"/>
          <w:szCs w:val="24"/>
        </w:rPr>
        <w:t>Gas servicing is delivered and managed by the gas safety team</w:t>
      </w:r>
      <w:r w:rsidR="00751EC9">
        <w:rPr>
          <w:sz w:val="24"/>
          <w:szCs w:val="24"/>
        </w:rPr>
        <w:t xml:space="preserve"> in-house</w:t>
      </w:r>
      <w:r w:rsidR="00A648BF">
        <w:rPr>
          <w:sz w:val="24"/>
          <w:szCs w:val="24"/>
        </w:rPr>
        <w:t>.</w:t>
      </w:r>
      <w:r w:rsidR="003E3D16">
        <w:rPr>
          <w:sz w:val="24"/>
          <w:szCs w:val="24"/>
        </w:rPr>
        <w:t xml:space="preserve"> </w:t>
      </w:r>
      <w:r w:rsidR="00385A2B">
        <w:rPr>
          <w:sz w:val="24"/>
          <w:szCs w:val="24"/>
        </w:rPr>
        <w:t>Any properties without a gas safety certificate follow a process including legal proceedings where necessary to gain access</w:t>
      </w:r>
      <w:r w:rsidR="003E3D16">
        <w:rPr>
          <w:sz w:val="24"/>
          <w:szCs w:val="24"/>
        </w:rPr>
        <w:t>. Gas safety will also be included within the Savills Compliance Review in terms of policy and procedure to ensure the council complies with all current legislation and good practice from other councils.</w:t>
      </w:r>
    </w:p>
    <w:p w14:paraId="49C3DD53" w14:textId="77777777" w:rsidR="00A648BF" w:rsidRDefault="00A648BF" w:rsidP="00A648BF">
      <w:pPr>
        <w:ind w:left="720"/>
        <w:rPr>
          <w:sz w:val="24"/>
          <w:szCs w:val="24"/>
        </w:rPr>
      </w:pPr>
    </w:p>
    <w:p w14:paraId="7A0EA3D9" w14:textId="77777777" w:rsidR="00A648BF" w:rsidRDefault="00A648BF" w:rsidP="00A648BF">
      <w:pPr>
        <w:rPr>
          <w:b/>
          <w:sz w:val="24"/>
          <w:szCs w:val="24"/>
        </w:rPr>
      </w:pPr>
    </w:p>
    <w:p w14:paraId="1EB0AED9" w14:textId="51C025FF" w:rsidR="00A648BF" w:rsidRPr="00BF15F7" w:rsidRDefault="00E23014" w:rsidP="00A648BF">
      <w:pPr>
        <w:rPr>
          <w:sz w:val="24"/>
          <w:szCs w:val="24"/>
        </w:rPr>
      </w:pPr>
      <w:r>
        <w:rPr>
          <w:b/>
          <w:sz w:val="24"/>
          <w:szCs w:val="24"/>
        </w:rPr>
        <w:t>9</w:t>
      </w:r>
      <w:r w:rsidR="00B20B95">
        <w:rPr>
          <w:b/>
          <w:sz w:val="24"/>
          <w:szCs w:val="24"/>
        </w:rPr>
        <w:tab/>
      </w:r>
      <w:r w:rsidR="00A648BF" w:rsidRPr="00973B86">
        <w:rPr>
          <w:b/>
          <w:sz w:val="24"/>
          <w:szCs w:val="24"/>
        </w:rPr>
        <w:t>Asbestos</w:t>
      </w:r>
    </w:p>
    <w:p w14:paraId="7B308DC6" w14:textId="77777777" w:rsidR="00A648BF" w:rsidRDefault="00A648BF" w:rsidP="00A648BF">
      <w:pPr>
        <w:rPr>
          <w:sz w:val="24"/>
          <w:szCs w:val="24"/>
        </w:rPr>
      </w:pPr>
    </w:p>
    <w:p w14:paraId="10BBE80F" w14:textId="4A0A7C25" w:rsidR="00A648BF" w:rsidRDefault="00E23014" w:rsidP="00751EC9">
      <w:pPr>
        <w:ind w:left="720" w:hanging="720"/>
        <w:rPr>
          <w:sz w:val="24"/>
          <w:szCs w:val="24"/>
        </w:rPr>
      </w:pPr>
      <w:r>
        <w:rPr>
          <w:sz w:val="24"/>
          <w:szCs w:val="24"/>
        </w:rPr>
        <w:t>9</w:t>
      </w:r>
      <w:r w:rsidR="00B20B95">
        <w:rPr>
          <w:sz w:val="24"/>
          <w:szCs w:val="24"/>
        </w:rPr>
        <w:t>.1</w:t>
      </w:r>
      <w:r w:rsidR="00751EC9">
        <w:rPr>
          <w:sz w:val="24"/>
          <w:szCs w:val="24"/>
        </w:rPr>
        <w:tab/>
      </w:r>
      <w:r w:rsidR="00973B86">
        <w:rPr>
          <w:sz w:val="24"/>
          <w:szCs w:val="24"/>
        </w:rPr>
        <w:t xml:space="preserve">The current allocated budget for asbestos surveys is £162,500. </w:t>
      </w:r>
      <w:r w:rsidR="00A648BF">
        <w:rPr>
          <w:sz w:val="24"/>
          <w:szCs w:val="24"/>
        </w:rPr>
        <w:t>A contract is in place</w:t>
      </w:r>
      <w:r w:rsidR="00B80A6D">
        <w:rPr>
          <w:sz w:val="24"/>
          <w:szCs w:val="24"/>
        </w:rPr>
        <w:t xml:space="preserve"> with Environtec Ltd</w:t>
      </w:r>
      <w:r w:rsidR="00A648BF">
        <w:rPr>
          <w:sz w:val="24"/>
          <w:szCs w:val="24"/>
        </w:rPr>
        <w:t xml:space="preserve"> for</w:t>
      </w:r>
      <w:r w:rsidR="00B80A6D">
        <w:rPr>
          <w:sz w:val="24"/>
          <w:szCs w:val="24"/>
        </w:rPr>
        <w:t xml:space="preserve"> the completion of</w:t>
      </w:r>
      <w:r w:rsidR="00A648BF">
        <w:rPr>
          <w:sz w:val="24"/>
          <w:szCs w:val="24"/>
        </w:rPr>
        <w:t xml:space="preserve"> </w:t>
      </w:r>
      <w:r w:rsidR="00B80A6D">
        <w:rPr>
          <w:sz w:val="24"/>
          <w:szCs w:val="24"/>
        </w:rPr>
        <w:t xml:space="preserve">surveys and is </w:t>
      </w:r>
      <w:r w:rsidR="00760468">
        <w:rPr>
          <w:sz w:val="24"/>
          <w:szCs w:val="24"/>
        </w:rPr>
        <w:t xml:space="preserve">currently </w:t>
      </w:r>
      <w:r w:rsidR="00B80A6D">
        <w:rPr>
          <w:sz w:val="24"/>
          <w:szCs w:val="24"/>
        </w:rPr>
        <w:t xml:space="preserve">managed by the </w:t>
      </w:r>
      <w:r w:rsidR="00760468">
        <w:rPr>
          <w:sz w:val="24"/>
          <w:szCs w:val="24"/>
        </w:rPr>
        <w:t>Operations</w:t>
      </w:r>
      <w:r w:rsidR="00B80A6D">
        <w:rPr>
          <w:sz w:val="24"/>
          <w:szCs w:val="24"/>
        </w:rPr>
        <w:t xml:space="preserve"> Manager</w:t>
      </w:r>
      <w:r w:rsidR="00F66764">
        <w:rPr>
          <w:sz w:val="24"/>
          <w:szCs w:val="24"/>
        </w:rPr>
        <w:t xml:space="preserve"> (</w:t>
      </w:r>
      <w:r w:rsidR="00760468">
        <w:rPr>
          <w:sz w:val="24"/>
          <w:szCs w:val="24"/>
        </w:rPr>
        <w:t>Servicing</w:t>
      </w:r>
      <w:r w:rsidR="00F66764">
        <w:rPr>
          <w:sz w:val="24"/>
          <w:szCs w:val="24"/>
        </w:rPr>
        <w:t xml:space="preserve"> and Support</w:t>
      </w:r>
      <w:r w:rsidR="00760468">
        <w:rPr>
          <w:sz w:val="24"/>
          <w:szCs w:val="24"/>
        </w:rPr>
        <w:t>)</w:t>
      </w:r>
      <w:r w:rsidR="00B80A6D">
        <w:rPr>
          <w:sz w:val="24"/>
          <w:szCs w:val="24"/>
        </w:rPr>
        <w:t>.</w:t>
      </w:r>
      <w:r w:rsidR="00751EC9">
        <w:rPr>
          <w:sz w:val="24"/>
          <w:szCs w:val="24"/>
        </w:rPr>
        <w:t xml:space="preserve"> </w:t>
      </w:r>
      <w:r w:rsidR="00A648BF">
        <w:rPr>
          <w:sz w:val="24"/>
          <w:szCs w:val="24"/>
        </w:rPr>
        <w:t>All surveys</w:t>
      </w:r>
      <w:r w:rsidR="00751EC9">
        <w:rPr>
          <w:sz w:val="24"/>
          <w:szCs w:val="24"/>
        </w:rPr>
        <w:t>,</w:t>
      </w:r>
      <w:r w:rsidR="00A648BF">
        <w:rPr>
          <w:sz w:val="24"/>
          <w:szCs w:val="24"/>
        </w:rPr>
        <w:t xml:space="preserve"> both mana</w:t>
      </w:r>
      <w:r w:rsidR="00973B86">
        <w:rPr>
          <w:sz w:val="24"/>
          <w:szCs w:val="24"/>
        </w:rPr>
        <w:t>gement and refurbishment</w:t>
      </w:r>
      <w:r w:rsidR="00751EC9">
        <w:rPr>
          <w:sz w:val="24"/>
          <w:szCs w:val="24"/>
        </w:rPr>
        <w:t>,</w:t>
      </w:r>
      <w:r w:rsidR="00973B86">
        <w:rPr>
          <w:sz w:val="24"/>
          <w:szCs w:val="24"/>
        </w:rPr>
        <w:t xml:space="preserve"> will</w:t>
      </w:r>
      <w:r w:rsidR="00A648BF">
        <w:rPr>
          <w:sz w:val="24"/>
          <w:szCs w:val="24"/>
        </w:rPr>
        <w:t xml:space="preserve"> be recorded within the QL asset management module to develop an asbestos register and </w:t>
      </w:r>
      <w:r w:rsidR="00751EC9">
        <w:rPr>
          <w:sz w:val="24"/>
          <w:szCs w:val="24"/>
        </w:rPr>
        <w:t xml:space="preserve">will be </w:t>
      </w:r>
      <w:r w:rsidR="00A648BF">
        <w:rPr>
          <w:sz w:val="24"/>
          <w:szCs w:val="24"/>
        </w:rPr>
        <w:t>update</w:t>
      </w:r>
      <w:r w:rsidR="00B80A6D">
        <w:rPr>
          <w:sz w:val="24"/>
          <w:szCs w:val="24"/>
        </w:rPr>
        <w:t>d</w:t>
      </w:r>
      <w:r w:rsidR="00A648BF">
        <w:rPr>
          <w:sz w:val="24"/>
          <w:szCs w:val="24"/>
        </w:rPr>
        <w:t xml:space="preserve"> on an ongoing basis.</w:t>
      </w:r>
    </w:p>
    <w:p w14:paraId="13C23622" w14:textId="77777777" w:rsidR="00A648BF" w:rsidRDefault="00A648BF" w:rsidP="00A648BF">
      <w:pPr>
        <w:rPr>
          <w:sz w:val="24"/>
          <w:szCs w:val="24"/>
        </w:rPr>
      </w:pPr>
    </w:p>
    <w:p w14:paraId="1CA3700D" w14:textId="77777777" w:rsidR="00A648BF" w:rsidRPr="00026724" w:rsidRDefault="00A648BF" w:rsidP="00A648BF">
      <w:pPr>
        <w:rPr>
          <w:sz w:val="24"/>
          <w:szCs w:val="24"/>
        </w:rPr>
      </w:pPr>
    </w:p>
    <w:p w14:paraId="450E50F4" w14:textId="7A9A35FD" w:rsidR="00A648BF" w:rsidRPr="00973B86" w:rsidRDefault="00E23014" w:rsidP="00A648BF">
      <w:pPr>
        <w:tabs>
          <w:tab w:val="left" w:pos="720"/>
        </w:tabs>
        <w:ind w:left="720" w:hanging="720"/>
        <w:rPr>
          <w:b/>
          <w:sz w:val="24"/>
          <w:szCs w:val="24"/>
        </w:rPr>
      </w:pPr>
      <w:r>
        <w:rPr>
          <w:b/>
          <w:sz w:val="24"/>
          <w:szCs w:val="24"/>
        </w:rPr>
        <w:t>10</w:t>
      </w:r>
      <w:r w:rsidR="00B20B95">
        <w:rPr>
          <w:b/>
          <w:sz w:val="24"/>
          <w:szCs w:val="24"/>
        </w:rPr>
        <w:tab/>
      </w:r>
      <w:r w:rsidR="00A648BF" w:rsidRPr="00973B86">
        <w:rPr>
          <w:b/>
          <w:sz w:val="24"/>
          <w:szCs w:val="24"/>
        </w:rPr>
        <w:t>Stock Condition Survey and Compliance Review</w:t>
      </w:r>
    </w:p>
    <w:p w14:paraId="51447D40" w14:textId="77777777" w:rsidR="00A648BF" w:rsidRPr="00973B86" w:rsidRDefault="00A648BF" w:rsidP="00A648BF">
      <w:pPr>
        <w:tabs>
          <w:tab w:val="left" w:pos="720"/>
        </w:tabs>
        <w:ind w:left="720" w:hanging="720"/>
        <w:rPr>
          <w:b/>
          <w:sz w:val="24"/>
          <w:szCs w:val="24"/>
        </w:rPr>
      </w:pPr>
    </w:p>
    <w:p w14:paraId="4B85ED92" w14:textId="62BDEDAD" w:rsidR="00A648BF" w:rsidRPr="00973B86" w:rsidRDefault="00E23014" w:rsidP="00A648BF">
      <w:pPr>
        <w:pStyle w:val="Default"/>
        <w:ind w:left="720" w:hanging="720"/>
        <w:jc w:val="both"/>
        <w:rPr>
          <w:rFonts w:ascii="Arial" w:hAnsi="Arial" w:cs="Arial"/>
        </w:rPr>
      </w:pPr>
      <w:r>
        <w:rPr>
          <w:rFonts w:ascii="Arial" w:hAnsi="Arial" w:cs="Arial"/>
        </w:rPr>
        <w:t>10</w:t>
      </w:r>
      <w:r w:rsidR="00B20B95">
        <w:rPr>
          <w:rFonts w:ascii="Arial" w:hAnsi="Arial" w:cs="Arial"/>
        </w:rPr>
        <w:t>.1</w:t>
      </w:r>
      <w:r w:rsidR="00751EC9">
        <w:rPr>
          <w:rFonts w:ascii="Arial" w:hAnsi="Arial" w:cs="Arial"/>
        </w:rPr>
        <w:tab/>
      </w:r>
      <w:r w:rsidR="00A648BF" w:rsidRPr="00973B86">
        <w:rPr>
          <w:rFonts w:ascii="Arial" w:hAnsi="Arial" w:cs="Arial"/>
        </w:rPr>
        <w:t>A st</w:t>
      </w:r>
      <w:r w:rsidR="00D67D04">
        <w:rPr>
          <w:rFonts w:ascii="Arial" w:hAnsi="Arial" w:cs="Arial"/>
        </w:rPr>
        <w:t>ock condition survey on 30% of the current housing stock has been undertaken</w:t>
      </w:r>
      <w:r w:rsidR="00A648BF" w:rsidRPr="00973B86">
        <w:rPr>
          <w:rFonts w:ascii="Arial" w:hAnsi="Arial" w:cs="Arial"/>
        </w:rPr>
        <w:t xml:space="preserve"> to understand the council’s repair and maintenance liabilities, which in turn will feed into the development of the council’s HRA business plan. It is recognised that reliable and up-to-date stock condition data is critical for investment planning in the medium to long term. </w:t>
      </w:r>
    </w:p>
    <w:p w14:paraId="6BF7D466" w14:textId="77777777" w:rsidR="00A648BF" w:rsidRPr="00973B86" w:rsidRDefault="00A648BF" w:rsidP="00D67D04">
      <w:pPr>
        <w:pStyle w:val="Default"/>
        <w:jc w:val="both"/>
        <w:rPr>
          <w:rFonts w:ascii="Arial" w:hAnsi="Arial" w:cs="Arial"/>
        </w:rPr>
      </w:pPr>
    </w:p>
    <w:p w14:paraId="1D9C4F82" w14:textId="01CE7CE1" w:rsidR="00A648BF" w:rsidRDefault="00E23014" w:rsidP="00E262A4">
      <w:pPr>
        <w:pStyle w:val="Default"/>
        <w:ind w:left="720" w:hanging="720"/>
        <w:jc w:val="both"/>
        <w:rPr>
          <w:rFonts w:ascii="Arial" w:hAnsi="Arial" w:cs="Arial"/>
        </w:rPr>
      </w:pPr>
      <w:r>
        <w:rPr>
          <w:rFonts w:ascii="Arial" w:hAnsi="Arial" w:cs="Arial"/>
        </w:rPr>
        <w:t>10</w:t>
      </w:r>
      <w:r w:rsidR="00B20B95">
        <w:rPr>
          <w:rFonts w:ascii="Arial" w:hAnsi="Arial" w:cs="Arial"/>
        </w:rPr>
        <w:t>.2</w:t>
      </w:r>
      <w:r w:rsidR="00E262A4">
        <w:rPr>
          <w:rFonts w:ascii="Arial" w:hAnsi="Arial" w:cs="Arial"/>
        </w:rPr>
        <w:tab/>
        <w:t>The service is</w:t>
      </w:r>
      <w:r w:rsidR="00A648BF" w:rsidRPr="00973B86">
        <w:rPr>
          <w:rFonts w:ascii="Arial" w:hAnsi="Arial" w:cs="Arial"/>
        </w:rPr>
        <w:t xml:space="preserve"> currently</w:t>
      </w:r>
      <w:r w:rsidR="00E262A4">
        <w:rPr>
          <w:rFonts w:ascii="Arial" w:hAnsi="Arial" w:cs="Arial"/>
        </w:rPr>
        <w:t xml:space="preserve"> liaising with QL about further</w:t>
      </w:r>
      <w:r w:rsidR="00A648BF" w:rsidRPr="00973B86">
        <w:rPr>
          <w:rFonts w:ascii="Arial" w:hAnsi="Arial" w:cs="Arial"/>
        </w:rPr>
        <w:t xml:space="preserve"> developing the QL asset management dat</w:t>
      </w:r>
      <w:r w:rsidR="00D67D04">
        <w:rPr>
          <w:rFonts w:ascii="Arial" w:hAnsi="Arial" w:cs="Arial"/>
        </w:rPr>
        <w:t>abase in view of the</w:t>
      </w:r>
      <w:r w:rsidR="00A648BF" w:rsidRPr="00973B86">
        <w:rPr>
          <w:rFonts w:ascii="Arial" w:hAnsi="Arial" w:cs="Arial"/>
        </w:rPr>
        <w:t xml:space="preserve"> stock condition survey along </w:t>
      </w:r>
      <w:r w:rsidR="00DF1037" w:rsidRPr="00973B86">
        <w:rPr>
          <w:rFonts w:ascii="Arial" w:hAnsi="Arial" w:cs="Arial"/>
        </w:rPr>
        <w:t>with further</w:t>
      </w:r>
      <w:r w:rsidR="00A648BF" w:rsidRPr="00973B86">
        <w:rPr>
          <w:rFonts w:ascii="Arial" w:hAnsi="Arial" w:cs="Arial"/>
        </w:rPr>
        <w:t xml:space="preserve"> development of the asbestos register within the software.</w:t>
      </w:r>
      <w:r w:rsidR="00E262A4">
        <w:rPr>
          <w:rFonts w:ascii="Arial" w:hAnsi="Arial" w:cs="Arial"/>
        </w:rPr>
        <w:t xml:space="preserve"> </w:t>
      </w:r>
      <w:r w:rsidR="005875F7">
        <w:rPr>
          <w:rFonts w:ascii="Arial" w:hAnsi="Arial" w:cs="Arial"/>
        </w:rPr>
        <w:t>We are in the process of arranging some</w:t>
      </w:r>
      <w:r w:rsidR="00E262A4">
        <w:rPr>
          <w:rFonts w:ascii="Arial" w:hAnsi="Arial" w:cs="Arial"/>
        </w:rPr>
        <w:t xml:space="preserve"> consultancy days</w:t>
      </w:r>
      <w:r w:rsidR="005875F7">
        <w:rPr>
          <w:rFonts w:ascii="Arial" w:hAnsi="Arial" w:cs="Arial"/>
        </w:rPr>
        <w:t xml:space="preserve"> with QL</w:t>
      </w:r>
      <w:r w:rsidR="00E262A4">
        <w:rPr>
          <w:rFonts w:ascii="Arial" w:hAnsi="Arial" w:cs="Arial"/>
        </w:rPr>
        <w:t xml:space="preserve"> to build out the system in line with the Sa</w:t>
      </w:r>
      <w:r w:rsidR="005875F7">
        <w:rPr>
          <w:rFonts w:ascii="Arial" w:hAnsi="Arial" w:cs="Arial"/>
        </w:rPr>
        <w:t>vills stock condition survey this</w:t>
      </w:r>
      <w:r w:rsidR="00E262A4">
        <w:rPr>
          <w:rFonts w:ascii="Arial" w:hAnsi="Arial" w:cs="Arial"/>
        </w:rPr>
        <w:t xml:space="preserve"> will assist the council with data transfer and the use of data to mo</w:t>
      </w:r>
      <w:r w:rsidR="005875F7">
        <w:rPr>
          <w:rFonts w:ascii="Arial" w:hAnsi="Arial" w:cs="Arial"/>
        </w:rPr>
        <w:t>del future capital programmes.</w:t>
      </w:r>
    </w:p>
    <w:p w14:paraId="10A2EAD9" w14:textId="77777777" w:rsidR="00E262A4" w:rsidRDefault="00E262A4" w:rsidP="00E262A4">
      <w:pPr>
        <w:pStyle w:val="Default"/>
        <w:ind w:left="720" w:hanging="720"/>
        <w:jc w:val="both"/>
        <w:rPr>
          <w:rFonts w:ascii="Arial" w:hAnsi="Arial" w:cs="Arial"/>
        </w:rPr>
      </w:pPr>
    </w:p>
    <w:p w14:paraId="55183849" w14:textId="7026C410" w:rsidR="00D67D04" w:rsidRDefault="00E23014" w:rsidP="00E262A4">
      <w:pPr>
        <w:pStyle w:val="Default"/>
        <w:ind w:left="720" w:hanging="720"/>
        <w:jc w:val="both"/>
        <w:rPr>
          <w:rFonts w:ascii="Arial" w:hAnsi="Arial" w:cs="Arial"/>
        </w:rPr>
      </w:pPr>
      <w:r>
        <w:rPr>
          <w:rFonts w:ascii="Arial" w:hAnsi="Arial" w:cs="Arial"/>
        </w:rPr>
        <w:t>10</w:t>
      </w:r>
      <w:r w:rsidR="00B20B95">
        <w:rPr>
          <w:rFonts w:ascii="Arial" w:hAnsi="Arial" w:cs="Arial"/>
        </w:rPr>
        <w:t>.3</w:t>
      </w:r>
      <w:r w:rsidR="00E262A4">
        <w:rPr>
          <w:rFonts w:ascii="Arial" w:hAnsi="Arial" w:cs="Arial"/>
        </w:rPr>
        <w:tab/>
        <w:t>Once all data has b</w:t>
      </w:r>
      <w:r w:rsidR="00847364">
        <w:rPr>
          <w:rFonts w:ascii="Arial" w:hAnsi="Arial" w:cs="Arial"/>
        </w:rPr>
        <w:t>een collected and recorded, futu</w:t>
      </w:r>
      <w:r w:rsidR="00E262A4">
        <w:rPr>
          <w:rFonts w:ascii="Arial" w:hAnsi="Arial" w:cs="Arial"/>
        </w:rPr>
        <w:t xml:space="preserve">re profiling of the capital programme will begin and this will then inform the council’s HRA business plan. </w:t>
      </w:r>
    </w:p>
    <w:p w14:paraId="1D341DDE" w14:textId="77777777" w:rsidR="00D67D04" w:rsidRDefault="00D67D04" w:rsidP="00E262A4">
      <w:pPr>
        <w:pStyle w:val="Default"/>
        <w:ind w:left="720" w:hanging="720"/>
        <w:jc w:val="both"/>
        <w:rPr>
          <w:rFonts w:ascii="Arial" w:hAnsi="Arial" w:cs="Arial"/>
        </w:rPr>
      </w:pPr>
    </w:p>
    <w:p w14:paraId="736A7CDA" w14:textId="77777777" w:rsidR="00D67D04" w:rsidRDefault="00D67D04" w:rsidP="00E262A4">
      <w:pPr>
        <w:pStyle w:val="Default"/>
        <w:ind w:left="720" w:hanging="720"/>
        <w:jc w:val="both"/>
        <w:rPr>
          <w:rFonts w:ascii="Arial" w:hAnsi="Arial" w:cs="Arial"/>
        </w:rPr>
      </w:pPr>
    </w:p>
    <w:p w14:paraId="5744A1AB" w14:textId="778F3E63" w:rsidR="00D67D04" w:rsidRDefault="00E23014" w:rsidP="00E262A4">
      <w:pPr>
        <w:pStyle w:val="Default"/>
        <w:ind w:left="720" w:hanging="720"/>
        <w:jc w:val="both"/>
        <w:rPr>
          <w:rFonts w:ascii="Arial" w:hAnsi="Arial" w:cs="Arial"/>
        </w:rPr>
      </w:pPr>
      <w:r>
        <w:rPr>
          <w:rFonts w:ascii="Arial" w:hAnsi="Arial" w:cs="Arial"/>
          <w:b/>
        </w:rPr>
        <w:t>11</w:t>
      </w:r>
      <w:r w:rsidR="00B20B95">
        <w:rPr>
          <w:rFonts w:ascii="Arial" w:hAnsi="Arial" w:cs="Arial"/>
          <w:b/>
        </w:rPr>
        <w:tab/>
      </w:r>
      <w:r w:rsidR="00D67D04">
        <w:rPr>
          <w:rFonts w:ascii="Arial" w:hAnsi="Arial" w:cs="Arial"/>
          <w:b/>
        </w:rPr>
        <w:t>New Smoke and Carbon Monoxide Alarm requirements</w:t>
      </w:r>
    </w:p>
    <w:p w14:paraId="7EFAFB4D" w14:textId="77777777" w:rsidR="00D67D04" w:rsidRDefault="00D67D04" w:rsidP="00E262A4">
      <w:pPr>
        <w:pStyle w:val="Default"/>
        <w:ind w:left="720" w:hanging="720"/>
        <w:jc w:val="both"/>
        <w:rPr>
          <w:rFonts w:ascii="Arial" w:hAnsi="Arial" w:cs="Arial"/>
        </w:rPr>
      </w:pPr>
    </w:p>
    <w:p w14:paraId="7D87C589" w14:textId="17169E6C" w:rsidR="00D56054" w:rsidRDefault="00E23014" w:rsidP="00E262A4">
      <w:pPr>
        <w:pStyle w:val="Default"/>
        <w:ind w:left="720" w:hanging="720"/>
        <w:jc w:val="both"/>
        <w:rPr>
          <w:rFonts w:ascii="Arial" w:hAnsi="Arial" w:cs="Arial"/>
        </w:rPr>
      </w:pPr>
      <w:r>
        <w:rPr>
          <w:rFonts w:ascii="Arial" w:hAnsi="Arial" w:cs="Arial"/>
        </w:rPr>
        <w:t>11</w:t>
      </w:r>
      <w:r w:rsidR="00B20B95">
        <w:rPr>
          <w:rFonts w:ascii="Arial" w:hAnsi="Arial" w:cs="Arial"/>
        </w:rPr>
        <w:t>.1</w:t>
      </w:r>
      <w:r w:rsidR="00B20B95">
        <w:rPr>
          <w:rFonts w:ascii="Arial" w:hAnsi="Arial" w:cs="Arial"/>
        </w:rPr>
        <w:tab/>
      </w:r>
      <w:r w:rsidR="00D56054" w:rsidRPr="00D56054">
        <w:rPr>
          <w:rFonts w:ascii="Arial" w:hAnsi="Arial" w:cs="Arial"/>
        </w:rPr>
        <w:t>On the 9</w:t>
      </w:r>
      <w:r w:rsidR="00D56054" w:rsidRPr="00D56054">
        <w:rPr>
          <w:rFonts w:ascii="Arial" w:hAnsi="Arial" w:cs="Arial"/>
          <w:vertAlign w:val="superscript"/>
        </w:rPr>
        <w:t>th</w:t>
      </w:r>
      <w:r w:rsidR="00CC7C7B">
        <w:rPr>
          <w:rFonts w:ascii="Arial" w:hAnsi="Arial" w:cs="Arial"/>
        </w:rPr>
        <w:t xml:space="preserve"> M</w:t>
      </w:r>
      <w:r w:rsidR="00D56054" w:rsidRPr="00D56054">
        <w:rPr>
          <w:rFonts w:ascii="Arial" w:hAnsi="Arial" w:cs="Arial"/>
        </w:rPr>
        <w:t>arch 2022 the Department for Levelling Up, Housing and Co</w:t>
      </w:r>
      <w:r w:rsidR="00CC7C7B">
        <w:rPr>
          <w:rFonts w:ascii="Arial" w:hAnsi="Arial" w:cs="Arial"/>
        </w:rPr>
        <w:t>mmunities sent a letter to all council l</w:t>
      </w:r>
      <w:r w:rsidR="00D56054" w:rsidRPr="00D56054">
        <w:rPr>
          <w:rFonts w:ascii="Arial" w:hAnsi="Arial" w:cs="Arial"/>
        </w:rPr>
        <w:t>eaders in England advising that they would be bringing forward changes to smoke alarm and carbon monoxide alarm requirements in the autumn of 2022. The changes, subject to parliamentary approval, will mean social landlords must:</w:t>
      </w:r>
    </w:p>
    <w:p w14:paraId="5CB20FAE" w14:textId="77777777" w:rsidR="00D56054" w:rsidRDefault="00D56054" w:rsidP="00E262A4">
      <w:pPr>
        <w:pStyle w:val="Default"/>
        <w:ind w:left="720" w:hanging="720"/>
        <w:jc w:val="both"/>
        <w:rPr>
          <w:rFonts w:ascii="Arial" w:hAnsi="Arial" w:cs="Arial"/>
        </w:rPr>
      </w:pPr>
    </w:p>
    <w:p w14:paraId="36106A3E" w14:textId="77777777" w:rsidR="00D56054" w:rsidRDefault="00D56054" w:rsidP="00D56054">
      <w:pPr>
        <w:pStyle w:val="Default"/>
        <w:numPr>
          <w:ilvl w:val="0"/>
          <w:numId w:val="9"/>
        </w:numPr>
        <w:jc w:val="both"/>
        <w:rPr>
          <w:rFonts w:ascii="Arial" w:hAnsi="Arial" w:cs="Arial"/>
        </w:rPr>
      </w:pPr>
      <w:r w:rsidRPr="00D56054">
        <w:rPr>
          <w:rFonts w:ascii="Arial" w:hAnsi="Arial" w:cs="Arial"/>
        </w:rPr>
        <w:t xml:space="preserve">Install at least one smoke alarm on every storey of their homes; and </w:t>
      </w:r>
    </w:p>
    <w:p w14:paraId="2EC892CF" w14:textId="77777777" w:rsidR="00D67D04" w:rsidRPr="00D56054" w:rsidRDefault="00D56054" w:rsidP="00D56054">
      <w:pPr>
        <w:pStyle w:val="Default"/>
        <w:numPr>
          <w:ilvl w:val="0"/>
          <w:numId w:val="9"/>
        </w:numPr>
        <w:jc w:val="both"/>
        <w:rPr>
          <w:rFonts w:ascii="Arial" w:hAnsi="Arial" w:cs="Arial"/>
        </w:rPr>
      </w:pPr>
      <w:r w:rsidRPr="00D56054">
        <w:rPr>
          <w:rFonts w:ascii="Arial" w:hAnsi="Arial" w:cs="Arial"/>
        </w:rPr>
        <w:t xml:space="preserve">Install carbon monoxide alarms in every room which contains a fixed </w:t>
      </w:r>
      <w:r>
        <w:rPr>
          <w:rFonts w:ascii="Arial" w:hAnsi="Arial" w:cs="Arial"/>
        </w:rPr>
        <w:t>combustion</w:t>
      </w:r>
      <w:r w:rsidRPr="00D56054">
        <w:rPr>
          <w:rFonts w:ascii="Arial" w:hAnsi="Arial" w:cs="Arial"/>
        </w:rPr>
        <w:t xml:space="preserve"> appliance (excluding gas cookers)</w:t>
      </w:r>
    </w:p>
    <w:p w14:paraId="5FB4D136" w14:textId="77777777" w:rsidR="00A648BF" w:rsidRPr="009B24C7" w:rsidRDefault="00A648BF" w:rsidP="00A648BF">
      <w:pPr>
        <w:rPr>
          <w:b/>
          <w:sz w:val="24"/>
          <w:szCs w:val="24"/>
          <w:highlight w:val="yellow"/>
        </w:rPr>
      </w:pPr>
    </w:p>
    <w:p w14:paraId="36CADF6E" w14:textId="2FC0D959" w:rsidR="00D67D04" w:rsidRDefault="00E23014" w:rsidP="00A648BF">
      <w:pPr>
        <w:ind w:left="720" w:hanging="720"/>
        <w:rPr>
          <w:sz w:val="24"/>
          <w:szCs w:val="24"/>
        </w:rPr>
      </w:pPr>
      <w:r>
        <w:rPr>
          <w:sz w:val="24"/>
          <w:szCs w:val="24"/>
        </w:rPr>
        <w:t>11</w:t>
      </w:r>
      <w:r w:rsidR="00D56054">
        <w:rPr>
          <w:sz w:val="24"/>
          <w:szCs w:val="24"/>
        </w:rPr>
        <w:t>.2</w:t>
      </w:r>
      <w:r w:rsidR="00D56054">
        <w:rPr>
          <w:sz w:val="24"/>
          <w:szCs w:val="24"/>
        </w:rPr>
        <w:tab/>
        <w:t>In preparation for the changes coming in to place the council has already begun the process of installing mains-powered CO alarms in all void properties and any property where electrical works or modifications are required to the existing smoke alarm circuits. We are also looking at how we can install battery-powered CO alarms to the housing stock in properties that do not currently meet the change in requiremen</w:t>
      </w:r>
      <w:r w:rsidR="00CC7C7B">
        <w:rPr>
          <w:sz w:val="24"/>
          <w:szCs w:val="24"/>
        </w:rPr>
        <w:t>ts as a short term solution with further planning taking place to meet these requirements.</w:t>
      </w:r>
    </w:p>
    <w:p w14:paraId="1FEA5E7F" w14:textId="77777777" w:rsidR="00B64E75" w:rsidRDefault="00B64E75" w:rsidP="00A648BF">
      <w:pPr>
        <w:ind w:left="720" w:hanging="720"/>
        <w:rPr>
          <w:sz w:val="24"/>
          <w:szCs w:val="24"/>
        </w:rPr>
      </w:pPr>
    </w:p>
    <w:p w14:paraId="7D37F850" w14:textId="70699842" w:rsidR="00B64E75" w:rsidRPr="00B64E75" w:rsidRDefault="00E23014" w:rsidP="00B64E75">
      <w:pPr>
        <w:ind w:left="720" w:hanging="720"/>
        <w:rPr>
          <w:sz w:val="24"/>
          <w:szCs w:val="24"/>
        </w:rPr>
      </w:pPr>
      <w:r>
        <w:rPr>
          <w:sz w:val="24"/>
          <w:szCs w:val="24"/>
        </w:rPr>
        <w:t>12</w:t>
      </w:r>
      <w:r w:rsidR="00B64E75" w:rsidRPr="00B64E75">
        <w:rPr>
          <w:sz w:val="24"/>
          <w:szCs w:val="24"/>
        </w:rPr>
        <w:tab/>
        <w:t>OPTIONS AVAILABLE</w:t>
      </w:r>
    </w:p>
    <w:p w14:paraId="673E0E85" w14:textId="77777777" w:rsidR="00B64E75" w:rsidRPr="00B64E75" w:rsidRDefault="00B64E75" w:rsidP="00B64E75">
      <w:pPr>
        <w:ind w:left="720" w:hanging="720"/>
        <w:rPr>
          <w:sz w:val="24"/>
          <w:szCs w:val="24"/>
        </w:rPr>
      </w:pPr>
    </w:p>
    <w:p w14:paraId="52BFEF17" w14:textId="2FC95321" w:rsidR="00B64E75" w:rsidRPr="00B64E75" w:rsidRDefault="00E23014" w:rsidP="00B64E75">
      <w:pPr>
        <w:ind w:left="720" w:hanging="720"/>
        <w:rPr>
          <w:sz w:val="24"/>
          <w:szCs w:val="24"/>
        </w:rPr>
      </w:pPr>
      <w:r>
        <w:rPr>
          <w:sz w:val="24"/>
          <w:szCs w:val="24"/>
        </w:rPr>
        <w:t>12</w:t>
      </w:r>
      <w:r w:rsidR="00B64E75" w:rsidRPr="00B64E75">
        <w:rPr>
          <w:sz w:val="24"/>
          <w:szCs w:val="24"/>
        </w:rPr>
        <w:t>.1</w:t>
      </w:r>
      <w:r w:rsidR="00B64E75" w:rsidRPr="00B64E75">
        <w:rPr>
          <w:sz w:val="24"/>
          <w:szCs w:val="24"/>
        </w:rPr>
        <w:tab/>
        <w:t xml:space="preserve">The option available is to note the current position </w:t>
      </w:r>
      <w:r w:rsidR="005431AB">
        <w:rPr>
          <w:sz w:val="24"/>
          <w:szCs w:val="24"/>
        </w:rPr>
        <w:t xml:space="preserve">regarding the management of the HRA assets in respect of compliance programmes </w:t>
      </w:r>
      <w:r w:rsidR="00B64E75" w:rsidRPr="00B64E75">
        <w:rPr>
          <w:sz w:val="24"/>
          <w:szCs w:val="24"/>
        </w:rPr>
        <w:t xml:space="preserve">as detailed in </w:t>
      </w:r>
      <w:r w:rsidR="00B64E75">
        <w:rPr>
          <w:sz w:val="24"/>
          <w:szCs w:val="24"/>
        </w:rPr>
        <w:t xml:space="preserve">this report. </w:t>
      </w:r>
    </w:p>
    <w:p w14:paraId="284418FA" w14:textId="77777777" w:rsidR="00B64E75" w:rsidRPr="00B64E75" w:rsidRDefault="00B64E75" w:rsidP="00B64E75">
      <w:pPr>
        <w:ind w:left="720" w:hanging="720"/>
        <w:rPr>
          <w:sz w:val="24"/>
          <w:szCs w:val="24"/>
        </w:rPr>
      </w:pPr>
    </w:p>
    <w:p w14:paraId="577EFD92" w14:textId="77777777" w:rsidR="00B64E75" w:rsidRPr="00B64E75" w:rsidRDefault="00B64E75" w:rsidP="00B64E75">
      <w:pPr>
        <w:ind w:left="720" w:hanging="720"/>
        <w:rPr>
          <w:sz w:val="24"/>
          <w:szCs w:val="24"/>
        </w:rPr>
      </w:pPr>
    </w:p>
    <w:p w14:paraId="3DD2A035" w14:textId="7A92C7EA" w:rsidR="00B64E75" w:rsidRDefault="00E23014" w:rsidP="00B64E75">
      <w:pPr>
        <w:ind w:left="720" w:hanging="720"/>
        <w:rPr>
          <w:sz w:val="24"/>
          <w:szCs w:val="24"/>
        </w:rPr>
      </w:pPr>
      <w:r>
        <w:rPr>
          <w:sz w:val="24"/>
          <w:szCs w:val="24"/>
        </w:rPr>
        <w:t>13</w:t>
      </w:r>
      <w:r w:rsidR="00B64E75" w:rsidRPr="00B64E75">
        <w:rPr>
          <w:sz w:val="24"/>
          <w:szCs w:val="24"/>
        </w:rPr>
        <w:tab/>
        <w:t>RISK ASSESSMENT OF RECOMMENDATIONS AND OPTIONS</w:t>
      </w:r>
    </w:p>
    <w:p w14:paraId="5458E6BF" w14:textId="77777777" w:rsidR="00B64E75" w:rsidRPr="00B64E75" w:rsidRDefault="00B64E75" w:rsidP="00B64E75">
      <w:pPr>
        <w:ind w:left="720" w:hanging="720"/>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635"/>
        <w:gridCol w:w="1070"/>
        <w:gridCol w:w="3127"/>
      </w:tblGrid>
      <w:tr w:rsidR="00B64E75" w:rsidRPr="00B64E75" w14:paraId="0B9644E9" w14:textId="77777777" w:rsidTr="00CC0370">
        <w:tc>
          <w:tcPr>
            <w:tcW w:w="1548" w:type="dxa"/>
            <w:shd w:val="clear" w:color="auto" w:fill="auto"/>
          </w:tcPr>
          <w:p w14:paraId="719910E4" w14:textId="77777777" w:rsidR="00B64E75" w:rsidRPr="00B64E75" w:rsidRDefault="00B64E75" w:rsidP="00B64E75">
            <w:pPr>
              <w:ind w:right="-270"/>
              <w:jc w:val="left"/>
              <w:rPr>
                <w:rFonts w:cs="Arial"/>
                <w:b/>
                <w:sz w:val="24"/>
                <w:szCs w:val="24"/>
                <w:lang w:eastAsia="en-US"/>
              </w:rPr>
            </w:pPr>
            <w:r w:rsidRPr="00B64E75">
              <w:rPr>
                <w:rFonts w:cs="Arial"/>
                <w:b/>
                <w:sz w:val="24"/>
                <w:szCs w:val="24"/>
                <w:lang w:eastAsia="en-US"/>
              </w:rPr>
              <w:t>Risk</w:t>
            </w:r>
          </w:p>
        </w:tc>
        <w:tc>
          <w:tcPr>
            <w:tcW w:w="2635" w:type="dxa"/>
            <w:shd w:val="clear" w:color="auto" w:fill="auto"/>
          </w:tcPr>
          <w:p w14:paraId="1829DD10" w14:textId="77777777" w:rsidR="00B64E75" w:rsidRPr="00B64E75" w:rsidRDefault="00B64E75" w:rsidP="00B64E75">
            <w:pPr>
              <w:jc w:val="left"/>
              <w:rPr>
                <w:rFonts w:cs="Arial"/>
                <w:b/>
                <w:sz w:val="24"/>
                <w:szCs w:val="24"/>
                <w:lang w:eastAsia="en-US"/>
              </w:rPr>
            </w:pPr>
            <w:r w:rsidRPr="00B64E75">
              <w:rPr>
                <w:rFonts w:cs="Arial"/>
                <w:b/>
                <w:sz w:val="24"/>
                <w:szCs w:val="24"/>
                <w:lang w:eastAsia="en-US"/>
              </w:rPr>
              <w:t>Risk Assessment</w:t>
            </w:r>
          </w:p>
        </w:tc>
        <w:tc>
          <w:tcPr>
            <w:tcW w:w="1070" w:type="dxa"/>
            <w:shd w:val="clear" w:color="auto" w:fill="auto"/>
          </w:tcPr>
          <w:p w14:paraId="19126763" w14:textId="77777777" w:rsidR="00B64E75" w:rsidRPr="00B64E75" w:rsidRDefault="00B64E75" w:rsidP="00B64E75">
            <w:pPr>
              <w:ind w:right="-270"/>
              <w:jc w:val="left"/>
              <w:rPr>
                <w:rFonts w:cs="Arial"/>
                <w:b/>
                <w:sz w:val="24"/>
                <w:szCs w:val="24"/>
                <w:lang w:eastAsia="en-US"/>
              </w:rPr>
            </w:pPr>
            <w:r w:rsidRPr="00B64E75">
              <w:rPr>
                <w:rFonts w:cs="Arial"/>
                <w:b/>
                <w:sz w:val="24"/>
                <w:szCs w:val="24"/>
                <w:lang w:eastAsia="en-US"/>
              </w:rPr>
              <w:t>Risk Level</w:t>
            </w:r>
          </w:p>
        </w:tc>
        <w:tc>
          <w:tcPr>
            <w:tcW w:w="3127" w:type="dxa"/>
            <w:shd w:val="clear" w:color="auto" w:fill="auto"/>
          </w:tcPr>
          <w:p w14:paraId="7214F9C2" w14:textId="77777777" w:rsidR="00B64E75" w:rsidRPr="00B64E75" w:rsidRDefault="00B64E75" w:rsidP="00B64E75">
            <w:pPr>
              <w:ind w:right="-270"/>
              <w:jc w:val="left"/>
              <w:rPr>
                <w:rFonts w:cs="Arial"/>
                <w:b/>
                <w:sz w:val="24"/>
                <w:szCs w:val="24"/>
                <w:lang w:eastAsia="en-US"/>
              </w:rPr>
            </w:pPr>
            <w:r w:rsidRPr="00B64E75">
              <w:rPr>
                <w:rFonts w:cs="Arial"/>
                <w:b/>
                <w:sz w:val="24"/>
                <w:szCs w:val="24"/>
                <w:lang w:eastAsia="en-US"/>
              </w:rPr>
              <w:t>Risk Management</w:t>
            </w:r>
          </w:p>
          <w:p w14:paraId="29BE7B8B" w14:textId="77777777" w:rsidR="00B64E75" w:rsidRPr="00B64E75" w:rsidRDefault="00B64E75" w:rsidP="00B64E75">
            <w:pPr>
              <w:ind w:right="-270"/>
              <w:jc w:val="left"/>
              <w:rPr>
                <w:rFonts w:cs="Arial"/>
                <w:b/>
                <w:sz w:val="24"/>
                <w:szCs w:val="24"/>
                <w:lang w:eastAsia="en-US"/>
              </w:rPr>
            </w:pPr>
          </w:p>
        </w:tc>
      </w:tr>
      <w:tr w:rsidR="00B64E75" w:rsidRPr="00B64E75" w14:paraId="0F1D2A88" w14:textId="77777777" w:rsidTr="00CC0370">
        <w:tc>
          <w:tcPr>
            <w:tcW w:w="1548" w:type="dxa"/>
            <w:shd w:val="clear" w:color="auto" w:fill="auto"/>
          </w:tcPr>
          <w:p w14:paraId="1EDE6814" w14:textId="77777777" w:rsidR="00B64E75" w:rsidRPr="00B64E75" w:rsidRDefault="00B64E75" w:rsidP="00B64E75">
            <w:pPr>
              <w:ind w:right="-270"/>
              <w:jc w:val="left"/>
              <w:rPr>
                <w:rFonts w:cs="Arial"/>
                <w:sz w:val="24"/>
                <w:szCs w:val="24"/>
                <w:lang w:eastAsia="en-US"/>
              </w:rPr>
            </w:pPr>
            <w:r w:rsidRPr="00B64E75">
              <w:rPr>
                <w:rFonts w:cs="Arial"/>
                <w:sz w:val="24"/>
                <w:szCs w:val="24"/>
                <w:lang w:eastAsia="en-US"/>
              </w:rPr>
              <w:t>Legal</w:t>
            </w:r>
          </w:p>
        </w:tc>
        <w:tc>
          <w:tcPr>
            <w:tcW w:w="2635" w:type="dxa"/>
            <w:shd w:val="clear" w:color="auto" w:fill="auto"/>
          </w:tcPr>
          <w:p w14:paraId="554B7B0A" w14:textId="77777777" w:rsidR="00B64E75" w:rsidRPr="00B64E75" w:rsidRDefault="00B64E75" w:rsidP="00B64E75">
            <w:pPr>
              <w:ind w:right="-108"/>
              <w:jc w:val="left"/>
              <w:rPr>
                <w:rFonts w:cs="Arial"/>
                <w:sz w:val="24"/>
                <w:szCs w:val="24"/>
                <w:lang w:eastAsia="en-US"/>
              </w:rPr>
            </w:pPr>
            <w:r w:rsidRPr="00B64E75">
              <w:rPr>
                <w:rFonts w:cs="Arial"/>
                <w:sz w:val="24"/>
                <w:szCs w:val="24"/>
                <w:lang w:eastAsia="en-US"/>
              </w:rPr>
              <w:t xml:space="preserve">There are potential legal risks to the Council if it does not have effective risk management arrangements </w:t>
            </w:r>
          </w:p>
          <w:p w14:paraId="4BBC1C2D" w14:textId="77777777" w:rsidR="00B64E75" w:rsidRPr="00B64E75" w:rsidRDefault="00B64E75" w:rsidP="00B64E75">
            <w:pPr>
              <w:ind w:right="-108"/>
              <w:jc w:val="left"/>
              <w:rPr>
                <w:rFonts w:cs="Arial"/>
                <w:sz w:val="24"/>
                <w:szCs w:val="24"/>
                <w:lang w:eastAsia="en-US"/>
              </w:rPr>
            </w:pPr>
          </w:p>
        </w:tc>
        <w:tc>
          <w:tcPr>
            <w:tcW w:w="1070" w:type="dxa"/>
            <w:shd w:val="clear" w:color="auto" w:fill="auto"/>
          </w:tcPr>
          <w:p w14:paraId="0A91D99F" w14:textId="77777777" w:rsidR="00B64E75" w:rsidRPr="00B64E75" w:rsidRDefault="00B64E75" w:rsidP="00B64E75">
            <w:pPr>
              <w:ind w:right="-270"/>
              <w:jc w:val="left"/>
              <w:rPr>
                <w:rFonts w:cs="Arial"/>
                <w:sz w:val="24"/>
                <w:szCs w:val="24"/>
                <w:lang w:eastAsia="en-US"/>
              </w:rPr>
            </w:pPr>
            <w:r w:rsidRPr="00B64E75">
              <w:rPr>
                <w:rFonts w:cs="Arial"/>
                <w:sz w:val="24"/>
                <w:szCs w:val="24"/>
                <w:lang w:eastAsia="en-US"/>
              </w:rPr>
              <w:t>Medium</w:t>
            </w:r>
          </w:p>
        </w:tc>
        <w:tc>
          <w:tcPr>
            <w:tcW w:w="3127" w:type="dxa"/>
            <w:shd w:val="clear" w:color="auto" w:fill="auto"/>
          </w:tcPr>
          <w:p w14:paraId="18565220" w14:textId="77777777" w:rsidR="00B64E75" w:rsidRPr="00B64E75" w:rsidRDefault="00B64E75" w:rsidP="00B64E75">
            <w:pPr>
              <w:ind w:right="-6"/>
              <w:jc w:val="left"/>
              <w:rPr>
                <w:rFonts w:cs="Arial"/>
                <w:sz w:val="24"/>
                <w:szCs w:val="24"/>
                <w:lang w:eastAsia="en-US"/>
              </w:rPr>
            </w:pPr>
            <w:r w:rsidRPr="00B64E75">
              <w:rPr>
                <w:rFonts w:cs="Arial"/>
                <w:sz w:val="24"/>
                <w:szCs w:val="24"/>
                <w:lang w:eastAsia="en-US"/>
              </w:rPr>
              <w:t xml:space="preserve">Effective management of the Council’s strategic risks and opportunities are a key element in delivery of its Corporate risk and opportunity management strategy  </w:t>
            </w:r>
          </w:p>
          <w:p w14:paraId="4299534B" w14:textId="77777777" w:rsidR="00B64E75" w:rsidRPr="00B64E75" w:rsidRDefault="00B64E75" w:rsidP="00B64E75">
            <w:pPr>
              <w:ind w:right="-6"/>
              <w:jc w:val="left"/>
              <w:rPr>
                <w:rFonts w:cs="Arial"/>
                <w:sz w:val="24"/>
                <w:szCs w:val="24"/>
                <w:lang w:eastAsia="en-US"/>
              </w:rPr>
            </w:pPr>
          </w:p>
        </w:tc>
      </w:tr>
      <w:tr w:rsidR="00B64E75" w:rsidRPr="00B64E75" w14:paraId="2783C248" w14:textId="77777777" w:rsidTr="00CC0370">
        <w:tc>
          <w:tcPr>
            <w:tcW w:w="1548" w:type="dxa"/>
            <w:shd w:val="clear" w:color="auto" w:fill="auto"/>
          </w:tcPr>
          <w:p w14:paraId="6CF5656A" w14:textId="77777777" w:rsidR="00B64E75" w:rsidRPr="00B64E75" w:rsidRDefault="00B64E75" w:rsidP="00B64E75">
            <w:pPr>
              <w:ind w:right="-270"/>
              <w:jc w:val="left"/>
              <w:rPr>
                <w:rFonts w:cs="Arial"/>
                <w:sz w:val="24"/>
                <w:szCs w:val="24"/>
                <w:lang w:eastAsia="en-US"/>
              </w:rPr>
            </w:pPr>
            <w:r w:rsidRPr="00B64E75">
              <w:rPr>
                <w:rFonts w:cs="Arial"/>
                <w:sz w:val="24"/>
                <w:szCs w:val="24"/>
                <w:lang w:eastAsia="en-US"/>
              </w:rPr>
              <w:t>Financial</w:t>
            </w:r>
          </w:p>
        </w:tc>
        <w:tc>
          <w:tcPr>
            <w:tcW w:w="2635" w:type="dxa"/>
            <w:shd w:val="clear" w:color="auto" w:fill="auto"/>
          </w:tcPr>
          <w:p w14:paraId="1D4094B0" w14:textId="77777777" w:rsidR="00B64E75" w:rsidRPr="00B64E75" w:rsidRDefault="00B64E75" w:rsidP="00B64E75">
            <w:pPr>
              <w:ind w:right="-108"/>
              <w:jc w:val="left"/>
              <w:rPr>
                <w:rFonts w:cs="Arial"/>
                <w:sz w:val="24"/>
                <w:szCs w:val="24"/>
                <w:lang w:eastAsia="en-US"/>
              </w:rPr>
            </w:pPr>
            <w:r w:rsidRPr="00B64E75">
              <w:rPr>
                <w:rFonts w:cs="Arial"/>
                <w:sz w:val="24"/>
                <w:szCs w:val="24"/>
                <w:lang w:eastAsia="en-US"/>
              </w:rPr>
              <w:t xml:space="preserve">There are potential financial risks to the Council of either significant unplanned expenditure or unrealised income generation opportunities if it does not have effective risk management arrangements </w:t>
            </w:r>
          </w:p>
          <w:p w14:paraId="5194DD1B" w14:textId="77777777" w:rsidR="00B64E75" w:rsidRPr="00B64E75" w:rsidRDefault="00B64E75" w:rsidP="00B64E75">
            <w:pPr>
              <w:ind w:right="-108"/>
              <w:jc w:val="left"/>
              <w:rPr>
                <w:rFonts w:cs="Arial"/>
                <w:sz w:val="24"/>
                <w:szCs w:val="24"/>
                <w:lang w:eastAsia="en-US"/>
              </w:rPr>
            </w:pPr>
          </w:p>
        </w:tc>
        <w:tc>
          <w:tcPr>
            <w:tcW w:w="1070" w:type="dxa"/>
            <w:shd w:val="clear" w:color="auto" w:fill="auto"/>
          </w:tcPr>
          <w:p w14:paraId="56F3455A" w14:textId="77777777" w:rsidR="00B64E75" w:rsidRPr="00B64E75" w:rsidRDefault="00B64E75" w:rsidP="00B64E75">
            <w:pPr>
              <w:ind w:right="-270"/>
              <w:jc w:val="left"/>
              <w:rPr>
                <w:rFonts w:cs="Arial"/>
                <w:sz w:val="24"/>
                <w:szCs w:val="24"/>
                <w:lang w:eastAsia="en-US"/>
              </w:rPr>
            </w:pPr>
            <w:r w:rsidRPr="00B64E75">
              <w:rPr>
                <w:rFonts w:cs="Arial"/>
                <w:sz w:val="24"/>
                <w:szCs w:val="24"/>
                <w:lang w:eastAsia="en-US"/>
              </w:rPr>
              <w:t>Medium</w:t>
            </w:r>
          </w:p>
        </w:tc>
        <w:tc>
          <w:tcPr>
            <w:tcW w:w="3127" w:type="dxa"/>
            <w:shd w:val="clear" w:color="auto" w:fill="auto"/>
          </w:tcPr>
          <w:p w14:paraId="4DB860CA" w14:textId="77777777" w:rsidR="00B64E75" w:rsidRPr="00B64E75" w:rsidRDefault="00B64E75" w:rsidP="00B64E75">
            <w:pPr>
              <w:ind w:right="-6"/>
              <w:jc w:val="left"/>
              <w:rPr>
                <w:rFonts w:cs="Arial"/>
                <w:sz w:val="24"/>
                <w:szCs w:val="24"/>
                <w:lang w:eastAsia="en-US"/>
              </w:rPr>
            </w:pPr>
            <w:r w:rsidRPr="00B64E75">
              <w:rPr>
                <w:rFonts w:cs="Arial"/>
                <w:sz w:val="24"/>
                <w:szCs w:val="24"/>
                <w:lang w:eastAsia="en-US"/>
              </w:rPr>
              <w:t xml:space="preserve">Effective management of the Council’s strategic risks and opportunities are a key element in delivery of its Corporate risk and opportunity management strategy  </w:t>
            </w:r>
          </w:p>
          <w:p w14:paraId="35661015" w14:textId="77777777" w:rsidR="00B64E75" w:rsidRPr="00B64E75" w:rsidRDefault="00B64E75" w:rsidP="00B64E75">
            <w:pPr>
              <w:ind w:right="-6"/>
              <w:jc w:val="left"/>
              <w:rPr>
                <w:rFonts w:cs="Arial"/>
                <w:sz w:val="24"/>
                <w:szCs w:val="24"/>
                <w:lang w:eastAsia="en-US"/>
              </w:rPr>
            </w:pPr>
          </w:p>
        </w:tc>
      </w:tr>
      <w:tr w:rsidR="00B64E75" w:rsidRPr="00B64E75" w14:paraId="0C45C1D4" w14:textId="77777777" w:rsidTr="00CC0370">
        <w:tc>
          <w:tcPr>
            <w:tcW w:w="1548" w:type="dxa"/>
            <w:shd w:val="clear" w:color="auto" w:fill="auto"/>
          </w:tcPr>
          <w:p w14:paraId="04C11708" w14:textId="77777777" w:rsidR="00B64E75" w:rsidRPr="00B64E75" w:rsidRDefault="00B64E75" w:rsidP="00B64E75">
            <w:pPr>
              <w:ind w:right="-270"/>
              <w:jc w:val="left"/>
              <w:rPr>
                <w:rFonts w:cs="Arial"/>
                <w:sz w:val="24"/>
                <w:szCs w:val="24"/>
                <w:lang w:eastAsia="en-US"/>
              </w:rPr>
            </w:pPr>
            <w:r w:rsidRPr="00B64E75">
              <w:rPr>
                <w:rFonts w:cs="Arial"/>
                <w:sz w:val="24"/>
                <w:szCs w:val="24"/>
                <w:lang w:eastAsia="en-US"/>
              </w:rPr>
              <w:t>Reputation</w:t>
            </w:r>
          </w:p>
        </w:tc>
        <w:tc>
          <w:tcPr>
            <w:tcW w:w="2635" w:type="dxa"/>
            <w:shd w:val="clear" w:color="auto" w:fill="auto"/>
          </w:tcPr>
          <w:p w14:paraId="7E9D3D55" w14:textId="77777777" w:rsidR="00B64E75" w:rsidRPr="00B64E75" w:rsidRDefault="00B64E75" w:rsidP="00B64E75">
            <w:pPr>
              <w:ind w:right="-108"/>
              <w:jc w:val="left"/>
              <w:rPr>
                <w:rFonts w:cs="Arial"/>
                <w:sz w:val="24"/>
                <w:szCs w:val="24"/>
                <w:lang w:eastAsia="en-US"/>
              </w:rPr>
            </w:pPr>
            <w:r w:rsidRPr="00B64E75">
              <w:rPr>
                <w:rFonts w:cs="Arial"/>
                <w:sz w:val="24"/>
                <w:szCs w:val="24"/>
                <w:lang w:eastAsia="en-US"/>
              </w:rPr>
              <w:t xml:space="preserve">There are potential reputational risks to the Council if it does not have effective risk management arrangements </w:t>
            </w:r>
          </w:p>
          <w:p w14:paraId="7146E541" w14:textId="77777777" w:rsidR="00B64E75" w:rsidRPr="00B64E75" w:rsidRDefault="00B64E75" w:rsidP="00B64E75">
            <w:pPr>
              <w:ind w:right="-108"/>
              <w:jc w:val="left"/>
              <w:rPr>
                <w:rFonts w:cs="Arial"/>
                <w:sz w:val="24"/>
                <w:szCs w:val="24"/>
                <w:lang w:eastAsia="en-US"/>
              </w:rPr>
            </w:pPr>
          </w:p>
        </w:tc>
        <w:tc>
          <w:tcPr>
            <w:tcW w:w="1070" w:type="dxa"/>
            <w:shd w:val="clear" w:color="auto" w:fill="auto"/>
          </w:tcPr>
          <w:p w14:paraId="47D5E6B9" w14:textId="77777777" w:rsidR="00B64E75" w:rsidRPr="00B64E75" w:rsidRDefault="00B64E75" w:rsidP="00B64E75">
            <w:pPr>
              <w:ind w:right="-270"/>
              <w:jc w:val="left"/>
              <w:rPr>
                <w:rFonts w:cs="Arial"/>
                <w:sz w:val="24"/>
                <w:szCs w:val="24"/>
                <w:lang w:eastAsia="en-US"/>
              </w:rPr>
            </w:pPr>
            <w:r w:rsidRPr="00B64E75">
              <w:rPr>
                <w:rFonts w:cs="Arial"/>
                <w:sz w:val="24"/>
                <w:szCs w:val="24"/>
                <w:lang w:eastAsia="en-US"/>
              </w:rPr>
              <w:t>Medium</w:t>
            </w:r>
          </w:p>
        </w:tc>
        <w:tc>
          <w:tcPr>
            <w:tcW w:w="3127" w:type="dxa"/>
            <w:shd w:val="clear" w:color="auto" w:fill="auto"/>
          </w:tcPr>
          <w:p w14:paraId="740127A3" w14:textId="77777777" w:rsidR="00B64E75" w:rsidRPr="00B64E75" w:rsidRDefault="00B64E75" w:rsidP="00B64E75">
            <w:pPr>
              <w:ind w:right="-6"/>
              <w:jc w:val="left"/>
              <w:rPr>
                <w:rFonts w:cs="Arial"/>
                <w:sz w:val="24"/>
                <w:szCs w:val="24"/>
                <w:lang w:eastAsia="en-US"/>
              </w:rPr>
            </w:pPr>
            <w:r w:rsidRPr="00B64E75">
              <w:rPr>
                <w:rFonts w:cs="Arial"/>
                <w:sz w:val="24"/>
                <w:szCs w:val="24"/>
                <w:lang w:eastAsia="en-US"/>
              </w:rPr>
              <w:t xml:space="preserve">Effective management of the Council’s strategic risks and opportunities are a key element in delivery of its Corporate risk and opportunity management strategy  </w:t>
            </w:r>
          </w:p>
          <w:p w14:paraId="6B5A8FA6" w14:textId="77777777" w:rsidR="00B64E75" w:rsidRPr="00B64E75" w:rsidRDefault="00B64E75" w:rsidP="00B64E75">
            <w:pPr>
              <w:ind w:right="-6"/>
              <w:jc w:val="left"/>
              <w:rPr>
                <w:rFonts w:cs="Arial"/>
                <w:sz w:val="24"/>
                <w:szCs w:val="24"/>
                <w:lang w:eastAsia="en-US"/>
              </w:rPr>
            </w:pPr>
          </w:p>
        </w:tc>
      </w:tr>
    </w:tbl>
    <w:p w14:paraId="6B29927E" w14:textId="77777777" w:rsidR="00B64E75" w:rsidRDefault="00B64E75" w:rsidP="00B64E75">
      <w:pPr>
        <w:ind w:left="720" w:hanging="720"/>
        <w:rPr>
          <w:sz w:val="24"/>
          <w:szCs w:val="24"/>
        </w:rPr>
      </w:pPr>
    </w:p>
    <w:p w14:paraId="34E5D99F" w14:textId="6DF42423" w:rsidR="00B64E75" w:rsidRPr="00B64E75" w:rsidRDefault="00E23014" w:rsidP="00B64E75">
      <w:pPr>
        <w:ind w:left="720" w:hanging="720"/>
        <w:rPr>
          <w:sz w:val="24"/>
          <w:szCs w:val="24"/>
        </w:rPr>
      </w:pPr>
      <w:r>
        <w:rPr>
          <w:sz w:val="24"/>
          <w:szCs w:val="24"/>
        </w:rPr>
        <w:t>14</w:t>
      </w:r>
      <w:r w:rsidR="00B64E75" w:rsidRPr="00B64E75">
        <w:rPr>
          <w:sz w:val="24"/>
          <w:szCs w:val="24"/>
        </w:rPr>
        <w:tab/>
        <w:t xml:space="preserve">IMPLICATIONS </w:t>
      </w:r>
    </w:p>
    <w:p w14:paraId="70DA6753" w14:textId="77777777" w:rsidR="00B64E75" w:rsidRPr="00B64E75" w:rsidRDefault="00B64E75" w:rsidP="00B64E75">
      <w:pPr>
        <w:ind w:left="720" w:hanging="720"/>
        <w:rPr>
          <w:sz w:val="24"/>
          <w:szCs w:val="24"/>
        </w:rPr>
      </w:pPr>
    </w:p>
    <w:p w14:paraId="05BACEB2" w14:textId="77777777" w:rsidR="00B64E75" w:rsidRPr="00B64E75" w:rsidRDefault="00B64E75" w:rsidP="00B64E75">
      <w:pPr>
        <w:ind w:left="720" w:hanging="720"/>
        <w:rPr>
          <w:sz w:val="24"/>
          <w:szCs w:val="24"/>
        </w:rPr>
      </w:pPr>
      <w:r w:rsidRPr="00B64E75">
        <w:rPr>
          <w:sz w:val="24"/>
          <w:szCs w:val="24"/>
        </w:rPr>
        <w:t>(a)</w:t>
      </w:r>
      <w:r w:rsidRPr="00B64E75">
        <w:rPr>
          <w:sz w:val="24"/>
          <w:szCs w:val="24"/>
        </w:rPr>
        <w:tab/>
        <w:t xml:space="preserve">Relevant Legislation </w:t>
      </w:r>
    </w:p>
    <w:p w14:paraId="6A9839BC" w14:textId="77777777" w:rsidR="00B64E75" w:rsidRPr="00B64E75" w:rsidRDefault="00B64E75" w:rsidP="00B64E75">
      <w:pPr>
        <w:ind w:left="720" w:hanging="720"/>
        <w:rPr>
          <w:sz w:val="24"/>
          <w:szCs w:val="24"/>
        </w:rPr>
      </w:pPr>
    </w:p>
    <w:p w14:paraId="6CEBCE8A" w14:textId="77777777" w:rsidR="00B64E75" w:rsidRPr="00B64E75" w:rsidRDefault="00B64E75" w:rsidP="00B64E75">
      <w:pPr>
        <w:ind w:left="720" w:hanging="720"/>
        <w:rPr>
          <w:sz w:val="24"/>
          <w:szCs w:val="24"/>
        </w:rPr>
      </w:pPr>
      <w:r w:rsidRPr="00B64E75">
        <w:rPr>
          <w:sz w:val="24"/>
          <w:szCs w:val="24"/>
        </w:rPr>
        <w:tab/>
        <w:t xml:space="preserve">Regulation 3 of the Accounts and Audit Regulations 2015 specifically requires that a relevant authority must ensure that it has a sound system of internal control which includes effective arrangements for the management of risk. </w:t>
      </w:r>
    </w:p>
    <w:p w14:paraId="2D5F7DE5" w14:textId="77777777" w:rsidR="00B64E75" w:rsidRPr="00B64E75" w:rsidRDefault="00B64E75" w:rsidP="00B64E75">
      <w:pPr>
        <w:ind w:left="720" w:hanging="720"/>
        <w:rPr>
          <w:sz w:val="24"/>
          <w:szCs w:val="24"/>
        </w:rPr>
      </w:pPr>
    </w:p>
    <w:p w14:paraId="436D741C" w14:textId="77777777" w:rsidR="00B64E75" w:rsidRPr="00B64E75" w:rsidRDefault="00B64E75" w:rsidP="00B64E75">
      <w:pPr>
        <w:ind w:left="720" w:hanging="720"/>
        <w:rPr>
          <w:sz w:val="24"/>
          <w:szCs w:val="24"/>
        </w:rPr>
      </w:pPr>
      <w:r w:rsidRPr="00B64E75">
        <w:rPr>
          <w:sz w:val="24"/>
          <w:szCs w:val="24"/>
        </w:rPr>
        <w:t>(b)</w:t>
      </w:r>
      <w:r w:rsidRPr="00B64E75">
        <w:rPr>
          <w:sz w:val="24"/>
          <w:szCs w:val="24"/>
        </w:rPr>
        <w:tab/>
        <w:t>Human Rights</w:t>
      </w:r>
    </w:p>
    <w:p w14:paraId="590C3FAB" w14:textId="77777777" w:rsidR="00B64E75" w:rsidRPr="00B64E75" w:rsidRDefault="00B64E75" w:rsidP="00B64E75">
      <w:pPr>
        <w:ind w:left="720" w:hanging="720"/>
        <w:rPr>
          <w:sz w:val="24"/>
          <w:szCs w:val="24"/>
        </w:rPr>
      </w:pPr>
    </w:p>
    <w:p w14:paraId="45F379BC" w14:textId="77777777" w:rsidR="00B64E75" w:rsidRPr="00B64E75" w:rsidRDefault="00B64E75" w:rsidP="00B64E75">
      <w:pPr>
        <w:ind w:left="720" w:hanging="720"/>
        <w:rPr>
          <w:sz w:val="24"/>
          <w:szCs w:val="24"/>
        </w:rPr>
      </w:pPr>
      <w:r w:rsidRPr="00B64E75">
        <w:rPr>
          <w:sz w:val="24"/>
          <w:szCs w:val="24"/>
        </w:rPr>
        <w:tab/>
        <w:t>The Human Rights Act 1998 is not engaged as no particular individual is directly affected by the decision.</w:t>
      </w:r>
    </w:p>
    <w:p w14:paraId="2891E961" w14:textId="77777777" w:rsidR="00B64E75" w:rsidRPr="00B64E75" w:rsidRDefault="00B64E75" w:rsidP="00B64E75">
      <w:pPr>
        <w:ind w:left="720" w:hanging="720"/>
        <w:rPr>
          <w:sz w:val="24"/>
          <w:szCs w:val="24"/>
        </w:rPr>
      </w:pPr>
    </w:p>
    <w:p w14:paraId="00B2FE0B" w14:textId="77777777" w:rsidR="00B64E75" w:rsidRPr="00B64E75" w:rsidRDefault="00B64E75" w:rsidP="00B64E75">
      <w:pPr>
        <w:ind w:left="720" w:hanging="720"/>
        <w:rPr>
          <w:sz w:val="24"/>
          <w:szCs w:val="24"/>
        </w:rPr>
      </w:pPr>
      <w:r w:rsidRPr="00B64E75">
        <w:rPr>
          <w:sz w:val="24"/>
          <w:szCs w:val="24"/>
        </w:rPr>
        <w:t>(c)</w:t>
      </w:r>
      <w:r w:rsidRPr="00B64E75">
        <w:rPr>
          <w:sz w:val="24"/>
          <w:szCs w:val="24"/>
        </w:rPr>
        <w:tab/>
        <w:t>Equality and Diversity</w:t>
      </w:r>
    </w:p>
    <w:p w14:paraId="6DC88A44" w14:textId="77777777" w:rsidR="00B64E75" w:rsidRPr="00B64E75" w:rsidRDefault="00B64E75" w:rsidP="00B64E75">
      <w:pPr>
        <w:ind w:left="720" w:hanging="720"/>
        <w:rPr>
          <w:sz w:val="24"/>
          <w:szCs w:val="24"/>
        </w:rPr>
      </w:pPr>
    </w:p>
    <w:p w14:paraId="416D3B3B" w14:textId="77777777" w:rsidR="00B64E75" w:rsidRPr="00B64E75" w:rsidRDefault="00B64E75" w:rsidP="00B64E75">
      <w:pPr>
        <w:ind w:left="720" w:hanging="720"/>
        <w:rPr>
          <w:sz w:val="24"/>
          <w:szCs w:val="24"/>
        </w:rPr>
      </w:pPr>
      <w:r w:rsidRPr="00B64E75">
        <w:rPr>
          <w:sz w:val="24"/>
          <w:szCs w:val="24"/>
        </w:rPr>
        <w:tab/>
        <w:t xml:space="preserve">An initial impact assessment has been completed </w:t>
      </w:r>
      <w:r w:rsidR="005431AB">
        <w:rPr>
          <w:sz w:val="24"/>
          <w:szCs w:val="24"/>
        </w:rPr>
        <w:t>for the risk and opportunity strategy which</w:t>
      </w:r>
      <w:r w:rsidRPr="00B64E75">
        <w:rPr>
          <w:sz w:val="24"/>
          <w:szCs w:val="24"/>
        </w:rPr>
        <w:t xml:space="preserve"> concludes that the proposed actions are fair and equitable in their content and are not discriminative on the grounds of equality and human rights.</w:t>
      </w:r>
    </w:p>
    <w:p w14:paraId="16861470" w14:textId="77777777" w:rsidR="00B64E75" w:rsidRPr="00B64E75" w:rsidRDefault="00B64E75" w:rsidP="00B64E75">
      <w:pPr>
        <w:ind w:left="720" w:hanging="720"/>
        <w:rPr>
          <w:sz w:val="24"/>
          <w:szCs w:val="24"/>
        </w:rPr>
      </w:pPr>
    </w:p>
    <w:p w14:paraId="30CAC389" w14:textId="77777777" w:rsidR="00B64E75" w:rsidRPr="00B64E75" w:rsidRDefault="00B64E75" w:rsidP="00B64E75">
      <w:pPr>
        <w:ind w:left="720" w:hanging="720"/>
        <w:rPr>
          <w:sz w:val="24"/>
          <w:szCs w:val="24"/>
        </w:rPr>
      </w:pPr>
      <w:r w:rsidRPr="00B64E75">
        <w:rPr>
          <w:sz w:val="24"/>
          <w:szCs w:val="24"/>
        </w:rPr>
        <w:t>(d)</w:t>
      </w:r>
      <w:r w:rsidRPr="00B64E75">
        <w:rPr>
          <w:sz w:val="24"/>
          <w:szCs w:val="24"/>
        </w:rPr>
        <w:tab/>
        <w:t>Climate change and environmental sustainability</w:t>
      </w:r>
    </w:p>
    <w:p w14:paraId="6DBC371C" w14:textId="77777777" w:rsidR="00B64E75" w:rsidRPr="00B64E75" w:rsidRDefault="00B64E75" w:rsidP="00B64E75">
      <w:pPr>
        <w:ind w:left="720" w:hanging="720"/>
        <w:rPr>
          <w:sz w:val="24"/>
          <w:szCs w:val="24"/>
        </w:rPr>
      </w:pPr>
    </w:p>
    <w:p w14:paraId="689B0CEE" w14:textId="77777777" w:rsidR="00B64E75" w:rsidRPr="00B64E75" w:rsidRDefault="00B64E75" w:rsidP="00B64E75">
      <w:pPr>
        <w:ind w:left="720" w:hanging="720"/>
        <w:rPr>
          <w:sz w:val="24"/>
          <w:szCs w:val="24"/>
        </w:rPr>
      </w:pPr>
      <w:r w:rsidRPr="00B64E75">
        <w:rPr>
          <w:sz w:val="24"/>
          <w:szCs w:val="24"/>
        </w:rPr>
        <w:tab/>
        <w:t>The proposed actions in the report do not have any environmental implications and have no effect on the climate.</w:t>
      </w:r>
    </w:p>
    <w:p w14:paraId="1F4BE5B2" w14:textId="77777777" w:rsidR="00B64E75" w:rsidRPr="00B64E75" w:rsidRDefault="00B64E75" w:rsidP="00B64E75">
      <w:pPr>
        <w:ind w:left="720" w:hanging="720"/>
        <w:rPr>
          <w:sz w:val="24"/>
          <w:szCs w:val="24"/>
        </w:rPr>
      </w:pPr>
    </w:p>
    <w:p w14:paraId="3DB7B255" w14:textId="77777777" w:rsidR="00B64E75" w:rsidRPr="00B64E75" w:rsidRDefault="00B64E75" w:rsidP="00B64E75">
      <w:pPr>
        <w:ind w:left="720" w:hanging="720"/>
        <w:rPr>
          <w:sz w:val="24"/>
          <w:szCs w:val="24"/>
        </w:rPr>
      </w:pPr>
      <w:r w:rsidRPr="00B64E75">
        <w:rPr>
          <w:sz w:val="24"/>
          <w:szCs w:val="24"/>
        </w:rPr>
        <w:t>(e)</w:t>
      </w:r>
      <w:r w:rsidRPr="00B64E75">
        <w:rPr>
          <w:sz w:val="24"/>
          <w:szCs w:val="24"/>
        </w:rPr>
        <w:tab/>
        <w:t>Crime and Disorder</w:t>
      </w:r>
    </w:p>
    <w:p w14:paraId="4B414A75" w14:textId="77777777" w:rsidR="00B64E75" w:rsidRPr="00B64E75" w:rsidRDefault="00B64E75" w:rsidP="00B64E75">
      <w:pPr>
        <w:ind w:left="720" w:hanging="720"/>
        <w:rPr>
          <w:sz w:val="24"/>
          <w:szCs w:val="24"/>
        </w:rPr>
      </w:pPr>
    </w:p>
    <w:p w14:paraId="22D253B5" w14:textId="77777777" w:rsidR="00B64E75" w:rsidRPr="00B64E75" w:rsidRDefault="00B64E75" w:rsidP="00B64E75">
      <w:pPr>
        <w:ind w:left="720" w:hanging="720"/>
        <w:rPr>
          <w:sz w:val="24"/>
          <w:szCs w:val="24"/>
        </w:rPr>
      </w:pPr>
      <w:r w:rsidRPr="00B64E75">
        <w:rPr>
          <w:sz w:val="24"/>
          <w:szCs w:val="24"/>
        </w:rPr>
        <w:tab/>
        <w:t>There are no implications for crime and disorder</w:t>
      </w:r>
    </w:p>
    <w:p w14:paraId="79E1FB20" w14:textId="77777777" w:rsidR="00B64E75" w:rsidRPr="00B64E75" w:rsidRDefault="00B64E75" w:rsidP="00B64E75">
      <w:pPr>
        <w:ind w:left="720" w:hanging="720"/>
        <w:rPr>
          <w:sz w:val="24"/>
          <w:szCs w:val="24"/>
        </w:rPr>
      </w:pPr>
    </w:p>
    <w:p w14:paraId="6D6BF98D" w14:textId="77777777" w:rsidR="00B64E75" w:rsidRPr="00B64E75" w:rsidRDefault="00B64E75" w:rsidP="00B64E75">
      <w:pPr>
        <w:ind w:left="720" w:hanging="720"/>
        <w:rPr>
          <w:sz w:val="24"/>
          <w:szCs w:val="24"/>
        </w:rPr>
      </w:pPr>
      <w:r w:rsidRPr="00B64E75">
        <w:rPr>
          <w:sz w:val="24"/>
          <w:szCs w:val="24"/>
        </w:rPr>
        <w:t>(f)</w:t>
      </w:r>
      <w:r w:rsidRPr="00B64E75">
        <w:rPr>
          <w:sz w:val="24"/>
          <w:szCs w:val="24"/>
        </w:rPr>
        <w:tab/>
        <w:t>Budget/Resource</w:t>
      </w:r>
    </w:p>
    <w:p w14:paraId="62518B09" w14:textId="77777777" w:rsidR="00B64E75" w:rsidRPr="00B64E75" w:rsidRDefault="00B64E75" w:rsidP="00B64E75">
      <w:pPr>
        <w:ind w:left="720" w:hanging="720"/>
        <w:rPr>
          <w:sz w:val="24"/>
          <w:szCs w:val="24"/>
        </w:rPr>
      </w:pPr>
    </w:p>
    <w:p w14:paraId="6D4FB900" w14:textId="77777777" w:rsidR="00CC7C7B" w:rsidRDefault="00B64E75" w:rsidP="00B64E75">
      <w:pPr>
        <w:ind w:left="720" w:hanging="720"/>
        <w:rPr>
          <w:sz w:val="24"/>
          <w:szCs w:val="24"/>
        </w:rPr>
      </w:pPr>
      <w:r w:rsidRPr="00B64E75">
        <w:rPr>
          <w:sz w:val="24"/>
          <w:szCs w:val="24"/>
        </w:rPr>
        <w:tab/>
        <w:t xml:space="preserve">The cost of </w:t>
      </w:r>
      <w:r w:rsidR="005431AB">
        <w:rPr>
          <w:sz w:val="24"/>
          <w:szCs w:val="24"/>
        </w:rPr>
        <w:t xml:space="preserve">the compliance programmes are set out within the report and are with the HRA budget. </w:t>
      </w:r>
    </w:p>
    <w:p w14:paraId="267921F3" w14:textId="77777777" w:rsidR="005431AB" w:rsidRDefault="005431AB" w:rsidP="00B64E75">
      <w:pPr>
        <w:ind w:left="720" w:hanging="720"/>
        <w:rPr>
          <w:sz w:val="24"/>
          <w:szCs w:val="24"/>
        </w:rPr>
      </w:pPr>
    </w:p>
    <w:p w14:paraId="10181EF4" w14:textId="1DFE3BCA" w:rsidR="00CC7C7B" w:rsidRDefault="00E23014" w:rsidP="00CC7C7B">
      <w:pPr>
        <w:rPr>
          <w:sz w:val="24"/>
          <w:szCs w:val="24"/>
        </w:rPr>
      </w:pPr>
      <w:r>
        <w:rPr>
          <w:b/>
          <w:sz w:val="24"/>
          <w:szCs w:val="24"/>
        </w:rPr>
        <w:t>15</w:t>
      </w:r>
      <w:r w:rsidR="00CC7C7B">
        <w:rPr>
          <w:b/>
          <w:sz w:val="24"/>
          <w:szCs w:val="24"/>
        </w:rPr>
        <w:t>.</w:t>
      </w:r>
      <w:r w:rsidR="00CC7C7B">
        <w:rPr>
          <w:b/>
          <w:sz w:val="24"/>
          <w:szCs w:val="24"/>
        </w:rPr>
        <w:tab/>
        <w:t>COMMENTS OF STATUTORY OFFICERS</w:t>
      </w:r>
    </w:p>
    <w:p w14:paraId="0868288C" w14:textId="77777777" w:rsidR="00CC7C7B" w:rsidRDefault="00CC7C7B" w:rsidP="00CC7C7B">
      <w:pPr>
        <w:rPr>
          <w:sz w:val="24"/>
          <w:szCs w:val="24"/>
        </w:rPr>
      </w:pPr>
    </w:p>
    <w:p w14:paraId="1EE8354A" w14:textId="77777777" w:rsidR="00CC7C7B" w:rsidRDefault="00CF21AD" w:rsidP="00CF21AD">
      <w:pPr>
        <w:ind w:left="720" w:hanging="720"/>
        <w:rPr>
          <w:sz w:val="24"/>
          <w:szCs w:val="24"/>
          <w:u w:val="single"/>
        </w:rPr>
      </w:pPr>
      <w:r>
        <w:rPr>
          <w:sz w:val="24"/>
          <w:szCs w:val="24"/>
        </w:rPr>
        <w:t>11.1</w:t>
      </w:r>
      <w:r>
        <w:rPr>
          <w:sz w:val="24"/>
          <w:szCs w:val="24"/>
        </w:rPr>
        <w:tab/>
      </w:r>
      <w:r w:rsidR="00CC7C7B">
        <w:rPr>
          <w:sz w:val="24"/>
          <w:szCs w:val="24"/>
          <w:u w:val="single"/>
        </w:rPr>
        <w:t>Monitoring Officer</w:t>
      </w:r>
      <w:r w:rsidRPr="009932A4">
        <w:rPr>
          <w:sz w:val="24"/>
          <w:szCs w:val="24"/>
        </w:rPr>
        <w:t xml:space="preserve"> - </w:t>
      </w:r>
      <w:r>
        <w:rPr>
          <w:rFonts w:cs="Arial"/>
          <w:sz w:val="24"/>
          <w:szCs w:val="24"/>
        </w:rPr>
        <w:t>Effective risk management provides assurance that effective control of the risk is in place.</w:t>
      </w:r>
    </w:p>
    <w:p w14:paraId="4D5114B9" w14:textId="77777777" w:rsidR="00CC7C7B" w:rsidRDefault="00CC7C7B" w:rsidP="00CC7C7B">
      <w:pPr>
        <w:rPr>
          <w:sz w:val="24"/>
          <w:szCs w:val="24"/>
        </w:rPr>
      </w:pPr>
      <w:r>
        <w:rPr>
          <w:sz w:val="24"/>
          <w:szCs w:val="24"/>
        </w:rPr>
        <w:tab/>
      </w:r>
    </w:p>
    <w:p w14:paraId="3A94E9EE" w14:textId="77777777" w:rsidR="00CC7C7B" w:rsidRDefault="00CC7C7B" w:rsidP="00CC7C7B">
      <w:pPr>
        <w:rPr>
          <w:sz w:val="24"/>
          <w:szCs w:val="24"/>
        </w:rPr>
      </w:pPr>
    </w:p>
    <w:p w14:paraId="7DDF1870" w14:textId="5AFE1561" w:rsidR="00CC7C7B" w:rsidRPr="009932A4" w:rsidRDefault="00CF21AD" w:rsidP="00CC7C7B">
      <w:pPr>
        <w:rPr>
          <w:sz w:val="24"/>
          <w:szCs w:val="24"/>
        </w:rPr>
      </w:pPr>
      <w:r>
        <w:rPr>
          <w:sz w:val="24"/>
          <w:szCs w:val="24"/>
        </w:rPr>
        <w:t>11.2</w:t>
      </w:r>
      <w:r>
        <w:rPr>
          <w:sz w:val="24"/>
          <w:szCs w:val="24"/>
        </w:rPr>
        <w:tab/>
      </w:r>
      <w:r w:rsidR="00CC7C7B">
        <w:rPr>
          <w:sz w:val="24"/>
          <w:szCs w:val="24"/>
          <w:u w:val="single"/>
        </w:rPr>
        <w:t>Section 151 Officer</w:t>
      </w:r>
      <w:r w:rsidR="009932A4">
        <w:rPr>
          <w:sz w:val="24"/>
          <w:szCs w:val="24"/>
        </w:rPr>
        <w:t xml:space="preserve"> – No specific comment.</w:t>
      </w:r>
    </w:p>
    <w:p w14:paraId="72B97DBD" w14:textId="77777777" w:rsidR="00CC7C7B" w:rsidRDefault="00CC7C7B" w:rsidP="00CC7C7B">
      <w:pPr>
        <w:rPr>
          <w:sz w:val="24"/>
          <w:szCs w:val="24"/>
        </w:rPr>
      </w:pPr>
    </w:p>
    <w:p w14:paraId="5119C202" w14:textId="77777777" w:rsidR="00CC7C7B" w:rsidRDefault="00CC7C7B" w:rsidP="00CC7C7B">
      <w:pPr>
        <w:rPr>
          <w:sz w:val="24"/>
          <w:szCs w:val="24"/>
        </w:rPr>
      </w:pPr>
      <w:r>
        <w:rPr>
          <w:sz w:val="24"/>
          <w:szCs w:val="24"/>
        </w:rPr>
        <w:tab/>
      </w:r>
    </w:p>
    <w:p w14:paraId="6434946D" w14:textId="77777777" w:rsidR="00CC7C7B" w:rsidRDefault="00CC7C7B" w:rsidP="00CC7C7B">
      <w:pPr>
        <w:rPr>
          <w:b/>
          <w:sz w:val="24"/>
          <w:szCs w:val="24"/>
        </w:rPr>
      </w:pPr>
    </w:p>
    <w:p w14:paraId="502F014C" w14:textId="214F7B3F" w:rsidR="00CC7C7B" w:rsidRDefault="00E23014" w:rsidP="00CC7C7B">
      <w:pPr>
        <w:rPr>
          <w:b/>
          <w:sz w:val="24"/>
          <w:szCs w:val="24"/>
        </w:rPr>
      </w:pPr>
      <w:r>
        <w:rPr>
          <w:b/>
          <w:sz w:val="24"/>
          <w:szCs w:val="24"/>
        </w:rPr>
        <w:t>16</w:t>
      </w:r>
      <w:r w:rsidR="00CC7C7B">
        <w:rPr>
          <w:b/>
          <w:sz w:val="24"/>
          <w:szCs w:val="24"/>
        </w:rPr>
        <w:t>.</w:t>
      </w:r>
      <w:r w:rsidR="00CC7C7B">
        <w:rPr>
          <w:b/>
          <w:sz w:val="24"/>
          <w:szCs w:val="24"/>
        </w:rPr>
        <w:tab/>
        <w:t>CONSULTATION</w:t>
      </w:r>
    </w:p>
    <w:p w14:paraId="3651A96F" w14:textId="77777777" w:rsidR="00CC7C7B" w:rsidRDefault="00CC7C7B" w:rsidP="00CC7C7B">
      <w:pPr>
        <w:rPr>
          <w:sz w:val="24"/>
          <w:szCs w:val="24"/>
        </w:rPr>
      </w:pPr>
    </w:p>
    <w:p w14:paraId="75DDE595" w14:textId="77777777" w:rsidR="00CC7C7B" w:rsidRDefault="00CC7C7B" w:rsidP="00CC7C7B">
      <w:pPr>
        <w:rPr>
          <w:sz w:val="24"/>
          <w:szCs w:val="24"/>
        </w:rPr>
      </w:pPr>
      <w:r>
        <w:rPr>
          <w:sz w:val="24"/>
          <w:szCs w:val="24"/>
        </w:rPr>
        <w:t>12.1</w:t>
      </w:r>
      <w:r>
        <w:rPr>
          <w:sz w:val="24"/>
          <w:szCs w:val="24"/>
        </w:rPr>
        <w:tab/>
        <w:t>None.</w:t>
      </w:r>
    </w:p>
    <w:p w14:paraId="5CBD724C" w14:textId="77777777" w:rsidR="00CC7C7B" w:rsidRDefault="00CC7C7B" w:rsidP="00CC7C7B">
      <w:pPr>
        <w:rPr>
          <w:sz w:val="24"/>
          <w:szCs w:val="24"/>
        </w:rPr>
      </w:pPr>
    </w:p>
    <w:p w14:paraId="6AD6C079" w14:textId="55DE4DF9" w:rsidR="00CC7C7B" w:rsidRDefault="00E23014" w:rsidP="00CC7C7B">
      <w:pPr>
        <w:rPr>
          <w:b/>
          <w:sz w:val="24"/>
          <w:szCs w:val="24"/>
        </w:rPr>
      </w:pPr>
      <w:r>
        <w:rPr>
          <w:b/>
          <w:sz w:val="24"/>
          <w:szCs w:val="24"/>
        </w:rPr>
        <w:t>17</w:t>
      </w:r>
      <w:r w:rsidR="00CC7C7B">
        <w:rPr>
          <w:b/>
          <w:sz w:val="24"/>
          <w:szCs w:val="24"/>
        </w:rPr>
        <w:t>.</w:t>
      </w:r>
      <w:r w:rsidR="00CC7C7B">
        <w:rPr>
          <w:b/>
          <w:sz w:val="24"/>
          <w:szCs w:val="24"/>
        </w:rPr>
        <w:tab/>
        <w:t>BACKGROUND PAPERS</w:t>
      </w:r>
    </w:p>
    <w:p w14:paraId="4BA2CD41" w14:textId="77777777" w:rsidR="00CC7C7B" w:rsidRDefault="00CC7C7B" w:rsidP="00CC7C7B">
      <w:pPr>
        <w:rPr>
          <w:sz w:val="24"/>
          <w:szCs w:val="24"/>
        </w:rPr>
      </w:pPr>
    </w:p>
    <w:p w14:paraId="3FA914A6" w14:textId="77777777" w:rsidR="00CC7C7B" w:rsidRDefault="00CC7C7B" w:rsidP="00CC7C7B">
      <w:pPr>
        <w:rPr>
          <w:sz w:val="24"/>
          <w:szCs w:val="24"/>
        </w:rPr>
      </w:pPr>
      <w:r>
        <w:rPr>
          <w:sz w:val="24"/>
          <w:szCs w:val="24"/>
        </w:rPr>
        <w:t>13.1</w:t>
      </w:r>
      <w:r>
        <w:rPr>
          <w:sz w:val="24"/>
          <w:szCs w:val="24"/>
        </w:rPr>
        <w:tab/>
        <w:t>None.</w:t>
      </w:r>
    </w:p>
    <w:p w14:paraId="5489FC92" w14:textId="77777777" w:rsidR="00CC7C7B" w:rsidRDefault="00CC7C7B" w:rsidP="00CC7C7B">
      <w:pPr>
        <w:rPr>
          <w:sz w:val="24"/>
          <w:szCs w:val="24"/>
        </w:rPr>
      </w:pPr>
    </w:p>
    <w:tbl>
      <w:tblPr>
        <w:tblW w:w="0" w:type="auto"/>
        <w:tblLook w:val="01E0" w:firstRow="1" w:lastRow="1" w:firstColumn="1" w:lastColumn="1" w:noHBand="0" w:noVBand="0"/>
      </w:tblPr>
      <w:tblGrid>
        <w:gridCol w:w="1788"/>
        <w:gridCol w:w="296"/>
        <w:gridCol w:w="6910"/>
      </w:tblGrid>
      <w:tr w:rsidR="00CC7C7B" w14:paraId="6E2C0327" w14:textId="77777777" w:rsidTr="00CC7C7B">
        <w:tc>
          <w:tcPr>
            <w:tcW w:w="1788" w:type="dxa"/>
          </w:tcPr>
          <w:p w14:paraId="4CAB45D4" w14:textId="77777777" w:rsidR="00CC7C7B" w:rsidRDefault="00CC7C7B">
            <w:pPr>
              <w:rPr>
                <w:rFonts w:cs="Arial"/>
                <w:sz w:val="24"/>
                <w:szCs w:val="24"/>
              </w:rPr>
            </w:pPr>
          </w:p>
        </w:tc>
        <w:tc>
          <w:tcPr>
            <w:tcW w:w="296" w:type="dxa"/>
          </w:tcPr>
          <w:p w14:paraId="61A2B938" w14:textId="77777777" w:rsidR="00CC7C7B" w:rsidRDefault="00CC7C7B">
            <w:pPr>
              <w:rPr>
                <w:rFonts w:cs="Arial"/>
                <w:sz w:val="24"/>
                <w:szCs w:val="24"/>
              </w:rPr>
            </w:pPr>
          </w:p>
        </w:tc>
        <w:tc>
          <w:tcPr>
            <w:tcW w:w="6910" w:type="dxa"/>
          </w:tcPr>
          <w:p w14:paraId="3AA88611" w14:textId="77777777" w:rsidR="00CC7C7B" w:rsidRDefault="00CC7C7B">
            <w:pPr>
              <w:rPr>
                <w:rFonts w:cs="Arial"/>
                <w:sz w:val="24"/>
                <w:szCs w:val="24"/>
              </w:rPr>
            </w:pPr>
          </w:p>
        </w:tc>
      </w:tr>
      <w:tr w:rsidR="00CC7C7B" w14:paraId="4BC761D4" w14:textId="77777777" w:rsidTr="00CC7C7B">
        <w:tc>
          <w:tcPr>
            <w:tcW w:w="1788" w:type="dxa"/>
          </w:tcPr>
          <w:p w14:paraId="2981EC3A" w14:textId="77777777" w:rsidR="00CC7C7B" w:rsidRDefault="00CC7C7B">
            <w:pPr>
              <w:rPr>
                <w:rFonts w:cs="Arial"/>
                <w:sz w:val="24"/>
                <w:szCs w:val="24"/>
              </w:rPr>
            </w:pPr>
          </w:p>
        </w:tc>
        <w:tc>
          <w:tcPr>
            <w:tcW w:w="296" w:type="dxa"/>
          </w:tcPr>
          <w:p w14:paraId="785026B0" w14:textId="77777777" w:rsidR="00CC7C7B" w:rsidRDefault="00CC7C7B">
            <w:pPr>
              <w:rPr>
                <w:rFonts w:cs="Arial"/>
                <w:sz w:val="24"/>
                <w:szCs w:val="24"/>
              </w:rPr>
            </w:pPr>
          </w:p>
        </w:tc>
        <w:tc>
          <w:tcPr>
            <w:tcW w:w="6910" w:type="dxa"/>
          </w:tcPr>
          <w:p w14:paraId="35E921ED" w14:textId="77777777" w:rsidR="00CC7C7B" w:rsidRDefault="00CC7C7B">
            <w:pPr>
              <w:rPr>
                <w:rFonts w:cs="Arial"/>
                <w:sz w:val="24"/>
                <w:szCs w:val="24"/>
              </w:rPr>
            </w:pPr>
          </w:p>
        </w:tc>
      </w:tr>
      <w:tr w:rsidR="00CC7C7B" w14:paraId="6B798295" w14:textId="77777777" w:rsidTr="00CC7C7B">
        <w:tc>
          <w:tcPr>
            <w:tcW w:w="1788" w:type="dxa"/>
          </w:tcPr>
          <w:p w14:paraId="3B00EEF6" w14:textId="77777777" w:rsidR="00CC7C7B" w:rsidRDefault="00CC7C7B">
            <w:pPr>
              <w:rPr>
                <w:rFonts w:cs="Arial"/>
                <w:sz w:val="24"/>
                <w:szCs w:val="24"/>
              </w:rPr>
            </w:pPr>
          </w:p>
        </w:tc>
        <w:tc>
          <w:tcPr>
            <w:tcW w:w="296" w:type="dxa"/>
          </w:tcPr>
          <w:p w14:paraId="2DDC3141" w14:textId="77777777" w:rsidR="00CC7C7B" w:rsidRDefault="00CC7C7B">
            <w:pPr>
              <w:rPr>
                <w:rFonts w:cs="Arial"/>
                <w:sz w:val="24"/>
                <w:szCs w:val="24"/>
              </w:rPr>
            </w:pPr>
          </w:p>
        </w:tc>
        <w:tc>
          <w:tcPr>
            <w:tcW w:w="6910" w:type="dxa"/>
          </w:tcPr>
          <w:p w14:paraId="735A54F0" w14:textId="77777777" w:rsidR="00CC7C7B" w:rsidRDefault="00CC7C7B">
            <w:pPr>
              <w:rPr>
                <w:rFonts w:cs="Arial"/>
                <w:sz w:val="24"/>
                <w:szCs w:val="24"/>
              </w:rPr>
            </w:pPr>
          </w:p>
        </w:tc>
      </w:tr>
      <w:tr w:rsidR="00CC7C7B" w14:paraId="2B8AC4DB" w14:textId="77777777" w:rsidTr="00CC7C7B">
        <w:tc>
          <w:tcPr>
            <w:tcW w:w="1788" w:type="dxa"/>
          </w:tcPr>
          <w:p w14:paraId="2F9370A9" w14:textId="77777777" w:rsidR="00CC7C7B" w:rsidRDefault="00CC7C7B">
            <w:pPr>
              <w:rPr>
                <w:rFonts w:cs="Arial"/>
                <w:sz w:val="24"/>
                <w:szCs w:val="24"/>
              </w:rPr>
            </w:pPr>
          </w:p>
        </w:tc>
        <w:tc>
          <w:tcPr>
            <w:tcW w:w="296" w:type="dxa"/>
          </w:tcPr>
          <w:p w14:paraId="4655D7D7" w14:textId="77777777" w:rsidR="00CC7C7B" w:rsidRDefault="00CC7C7B">
            <w:pPr>
              <w:rPr>
                <w:rFonts w:cs="Arial"/>
                <w:sz w:val="24"/>
                <w:szCs w:val="24"/>
              </w:rPr>
            </w:pPr>
          </w:p>
        </w:tc>
        <w:tc>
          <w:tcPr>
            <w:tcW w:w="6910" w:type="dxa"/>
          </w:tcPr>
          <w:p w14:paraId="664621C7" w14:textId="77777777" w:rsidR="00CC7C7B" w:rsidRDefault="00CC7C7B">
            <w:pPr>
              <w:rPr>
                <w:rFonts w:cs="Arial"/>
                <w:sz w:val="24"/>
                <w:szCs w:val="24"/>
              </w:rPr>
            </w:pPr>
          </w:p>
        </w:tc>
      </w:tr>
    </w:tbl>
    <w:p w14:paraId="05AEDF2D" w14:textId="77777777" w:rsidR="00CC7C7B" w:rsidRDefault="00CC7C7B" w:rsidP="00CC7C7B">
      <w:pPr>
        <w:rPr>
          <w:rFonts w:cs="Arial"/>
          <w:sz w:val="24"/>
          <w:szCs w:val="24"/>
        </w:rPr>
      </w:pPr>
    </w:p>
    <w:p w14:paraId="20B47E1E" w14:textId="77777777" w:rsidR="00CC7C7B" w:rsidRDefault="00CC7C7B" w:rsidP="00A648BF">
      <w:pPr>
        <w:ind w:left="720" w:hanging="720"/>
        <w:rPr>
          <w:sz w:val="24"/>
          <w:szCs w:val="24"/>
        </w:rPr>
      </w:pPr>
    </w:p>
    <w:p w14:paraId="4757044A" w14:textId="77777777" w:rsidR="00150956" w:rsidRDefault="00150956" w:rsidP="00A648BF">
      <w:pPr>
        <w:ind w:left="720" w:hanging="720"/>
        <w:rPr>
          <w:sz w:val="24"/>
          <w:szCs w:val="24"/>
        </w:rPr>
      </w:pPr>
    </w:p>
    <w:tbl>
      <w:tblPr>
        <w:tblW w:w="0" w:type="auto"/>
        <w:tblLook w:val="01E0" w:firstRow="1" w:lastRow="1" w:firstColumn="1" w:lastColumn="1" w:noHBand="0" w:noVBand="0"/>
      </w:tblPr>
      <w:tblGrid>
        <w:gridCol w:w="1770"/>
        <w:gridCol w:w="291"/>
        <w:gridCol w:w="296"/>
        <w:gridCol w:w="6669"/>
      </w:tblGrid>
      <w:tr w:rsidR="00973B86" w:rsidRPr="00E10F3C" w14:paraId="7009F427" w14:textId="77777777" w:rsidTr="008F2E47">
        <w:tc>
          <w:tcPr>
            <w:tcW w:w="1785" w:type="dxa"/>
            <w:shd w:val="clear" w:color="auto" w:fill="auto"/>
          </w:tcPr>
          <w:p w14:paraId="704C57FB" w14:textId="77777777" w:rsidR="00973B86" w:rsidRPr="00E10F3C" w:rsidRDefault="00973B86" w:rsidP="008F2E47">
            <w:pPr>
              <w:rPr>
                <w:rFonts w:cs="Arial"/>
                <w:sz w:val="24"/>
                <w:szCs w:val="24"/>
              </w:rPr>
            </w:pPr>
            <w:r w:rsidRPr="00E10F3C">
              <w:rPr>
                <w:rFonts w:cs="Arial"/>
                <w:sz w:val="24"/>
                <w:szCs w:val="24"/>
              </w:rPr>
              <w:t>Report Author</w:t>
            </w:r>
          </w:p>
        </w:tc>
        <w:tc>
          <w:tcPr>
            <w:tcW w:w="295" w:type="dxa"/>
          </w:tcPr>
          <w:p w14:paraId="3BD834DD" w14:textId="77777777" w:rsidR="00973B86" w:rsidRPr="00E10F3C" w:rsidRDefault="00973B86" w:rsidP="008F2E47">
            <w:pPr>
              <w:rPr>
                <w:rFonts w:cs="Arial"/>
                <w:sz w:val="24"/>
                <w:szCs w:val="24"/>
              </w:rPr>
            </w:pPr>
          </w:p>
        </w:tc>
        <w:tc>
          <w:tcPr>
            <w:tcW w:w="296" w:type="dxa"/>
            <w:shd w:val="clear" w:color="auto" w:fill="auto"/>
          </w:tcPr>
          <w:p w14:paraId="7070E5B6" w14:textId="77777777" w:rsidR="00973B86" w:rsidRPr="00E10F3C" w:rsidRDefault="00973B86" w:rsidP="008F2E47">
            <w:pPr>
              <w:rPr>
                <w:rFonts w:cs="Arial"/>
                <w:sz w:val="24"/>
                <w:szCs w:val="24"/>
              </w:rPr>
            </w:pPr>
            <w:r w:rsidRPr="00E10F3C">
              <w:rPr>
                <w:rFonts w:cs="Arial"/>
                <w:sz w:val="24"/>
                <w:szCs w:val="24"/>
              </w:rPr>
              <w:t>-</w:t>
            </w:r>
          </w:p>
        </w:tc>
        <w:tc>
          <w:tcPr>
            <w:tcW w:w="6866" w:type="dxa"/>
            <w:shd w:val="clear" w:color="auto" w:fill="auto"/>
          </w:tcPr>
          <w:p w14:paraId="362978BE" w14:textId="77777777" w:rsidR="00973B86" w:rsidRPr="00E10F3C" w:rsidRDefault="00973B86" w:rsidP="008F2E47">
            <w:pPr>
              <w:rPr>
                <w:rFonts w:cs="Arial"/>
                <w:sz w:val="24"/>
                <w:szCs w:val="24"/>
              </w:rPr>
            </w:pPr>
            <w:r>
              <w:rPr>
                <w:rFonts w:cs="Arial"/>
                <w:sz w:val="24"/>
                <w:szCs w:val="24"/>
              </w:rPr>
              <w:t>Craig Tinsley</w:t>
            </w:r>
          </w:p>
        </w:tc>
      </w:tr>
      <w:tr w:rsidR="00973B86" w:rsidRPr="00E10F3C" w14:paraId="365BB868" w14:textId="77777777" w:rsidTr="008F2E47">
        <w:tc>
          <w:tcPr>
            <w:tcW w:w="1785" w:type="dxa"/>
            <w:shd w:val="clear" w:color="auto" w:fill="auto"/>
          </w:tcPr>
          <w:p w14:paraId="48E861EC" w14:textId="77777777" w:rsidR="00973B86" w:rsidRPr="00E10F3C" w:rsidRDefault="00973B86" w:rsidP="008F2E47">
            <w:pPr>
              <w:rPr>
                <w:rFonts w:cs="Arial"/>
                <w:sz w:val="24"/>
                <w:szCs w:val="24"/>
              </w:rPr>
            </w:pPr>
            <w:r w:rsidRPr="00E10F3C">
              <w:rPr>
                <w:rFonts w:cs="Arial"/>
                <w:sz w:val="24"/>
                <w:szCs w:val="24"/>
              </w:rPr>
              <w:t>Designation</w:t>
            </w:r>
          </w:p>
        </w:tc>
        <w:tc>
          <w:tcPr>
            <w:tcW w:w="295" w:type="dxa"/>
          </w:tcPr>
          <w:p w14:paraId="160167FD" w14:textId="77777777" w:rsidR="00973B86" w:rsidRPr="00E10F3C" w:rsidRDefault="00973B86" w:rsidP="008F2E47">
            <w:pPr>
              <w:rPr>
                <w:rFonts w:cs="Arial"/>
                <w:sz w:val="24"/>
                <w:szCs w:val="24"/>
              </w:rPr>
            </w:pPr>
          </w:p>
        </w:tc>
        <w:tc>
          <w:tcPr>
            <w:tcW w:w="296" w:type="dxa"/>
            <w:shd w:val="clear" w:color="auto" w:fill="auto"/>
          </w:tcPr>
          <w:p w14:paraId="4EFF12CD" w14:textId="77777777" w:rsidR="00973B86" w:rsidRPr="00E10F3C" w:rsidRDefault="00973B86" w:rsidP="008F2E47">
            <w:pPr>
              <w:rPr>
                <w:rFonts w:cs="Arial"/>
                <w:sz w:val="24"/>
                <w:szCs w:val="24"/>
              </w:rPr>
            </w:pPr>
            <w:r w:rsidRPr="00E10F3C">
              <w:rPr>
                <w:rFonts w:cs="Arial"/>
                <w:sz w:val="24"/>
                <w:szCs w:val="24"/>
              </w:rPr>
              <w:t>-</w:t>
            </w:r>
          </w:p>
        </w:tc>
        <w:tc>
          <w:tcPr>
            <w:tcW w:w="6866" w:type="dxa"/>
            <w:shd w:val="clear" w:color="auto" w:fill="auto"/>
          </w:tcPr>
          <w:p w14:paraId="2A811DA9" w14:textId="77777777" w:rsidR="00973B86" w:rsidRPr="00E10F3C" w:rsidRDefault="00973B86" w:rsidP="008F2E47">
            <w:pPr>
              <w:rPr>
                <w:rFonts w:cs="Arial"/>
                <w:sz w:val="24"/>
                <w:szCs w:val="24"/>
              </w:rPr>
            </w:pPr>
            <w:r>
              <w:rPr>
                <w:rFonts w:cs="Arial"/>
                <w:sz w:val="24"/>
                <w:szCs w:val="24"/>
              </w:rPr>
              <w:t>Repairs and Asset Manager</w:t>
            </w:r>
          </w:p>
        </w:tc>
      </w:tr>
      <w:tr w:rsidR="00973B86" w:rsidRPr="00E10F3C" w14:paraId="330222C5" w14:textId="77777777" w:rsidTr="008F2E47">
        <w:tc>
          <w:tcPr>
            <w:tcW w:w="1785" w:type="dxa"/>
            <w:shd w:val="clear" w:color="auto" w:fill="auto"/>
          </w:tcPr>
          <w:p w14:paraId="77BE49B7" w14:textId="77777777" w:rsidR="00973B86" w:rsidRPr="00E10F3C" w:rsidRDefault="00973B86" w:rsidP="008F2E47">
            <w:pPr>
              <w:rPr>
                <w:rFonts w:cs="Arial"/>
                <w:sz w:val="24"/>
                <w:szCs w:val="24"/>
              </w:rPr>
            </w:pPr>
            <w:r w:rsidRPr="00E10F3C">
              <w:rPr>
                <w:rFonts w:cs="Arial"/>
                <w:sz w:val="24"/>
                <w:szCs w:val="24"/>
              </w:rPr>
              <w:t>Telephone</w:t>
            </w:r>
          </w:p>
        </w:tc>
        <w:tc>
          <w:tcPr>
            <w:tcW w:w="295" w:type="dxa"/>
          </w:tcPr>
          <w:p w14:paraId="5A1EECD0" w14:textId="77777777" w:rsidR="00973B86" w:rsidRPr="00E10F3C" w:rsidRDefault="00973B86" w:rsidP="008F2E47">
            <w:pPr>
              <w:rPr>
                <w:rFonts w:cs="Arial"/>
                <w:sz w:val="24"/>
                <w:szCs w:val="24"/>
              </w:rPr>
            </w:pPr>
          </w:p>
        </w:tc>
        <w:tc>
          <w:tcPr>
            <w:tcW w:w="296" w:type="dxa"/>
            <w:shd w:val="clear" w:color="auto" w:fill="auto"/>
          </w:tcPr>
          <w:p w14:paraId="6F6FC0CD" w14:textId="77777777" w:rsidR="00973B86" w:rsidRPr="00E10F3C" w:rsidRDefault="00973B86" w:rsidP="008F2E47">
            <w:pPr>
              <w:rPr>
                <w:rFonts w:cs="Arial"/>
                <w:sz w:val="24"/>
                <w:szCs w:val="24"/>
              </w:rPr>
            </w:pPr>
            <w:r w:rsidRPr="00E10F3C">
              <w:rPr>
                <w:rFonts w:cs="Arial"/>
                <w:sz w:val="24"/>
                <w:szCs w:val="24"/>
              </w:rPr>
              <w:t>-</w:t>
            </w:r>
          </w:p>
        </w:tc>
        <w:tc>
          <w:tcPr>
            <w:tcW w:w="6866" w:type="dxa"/>
            <w:shd w:val="clear" w:color="auto" w:fill="auto"/>
          </w:tcPr>
          <w:p w14:paraId="2D445F20" w14:textId="77777777" w:rsidR="00973B86" w:rsidRPr="00E10F3C" w:rsidRDefault="00973B86" w:rsidP="008F2E47">
            <w:pPr>
              <w:rPr>
                <w:rFonts w:cs="Arial"/>
                <w:sz w:val="24"/>
                <w:szCs w:val="24"/>
              </w:rPr>
            </w:pPr>
            <w:r>
              <w:rPr>
                <w:rFonts w:cs="Arial"/>
                <w:sz w:val="24"/>
                <w:szCs w:val="24"/>
              </w:rPr>
              <w:t>01623 463393</w:t>
            </w:r>
          </w:p>
        </w:tc>
      </w:tr>
      <w:tr w:rsidR="00973B86" w:rsidRPr="00E10F3C" w14:paraId="53DF5C2C" w14:textId="77777777" w:rsidTr="008F2E47">
        <w:tc>
          <w:tcPr>
            <w:tcW w:w="1785" w:type="dxa"/>
            <w:shd w:val="clear" w:color="auto" w:fill="auto"/>
          </w:tcPr>
          <w:p w14:paraId="73FCB8BA" w14:textId="77777777" w:rsidR="00973B86" w:rsidRPr="00E10F3C" w:rsidRDefault="00973B86" w:rsidP="008F2E47">
            <w:pPr>
              <w:rPr>
                <w:rFonts w:cs="Arial"/>
                <w:sz w:val="24"/>
                <w:szCs w:val="24"/>
              </w:rPr>
            </w:pPr>
            <w:r w:rsidRPr="00E10F3C">
              <w:rPr>
                <w:rFonts w:cs="Arial"/>
                <w:sz w:val="24"/>
                <w:szCs w:val="24"/>
              </w:rPr>
              <w:t>E-mail</w:t>
            </w:r>
          </w:p>
        </w:tc>
        <w:tc>
          <w:tcPr>
            <w:tcW w:w="295" w:type="dxa"/>
          </w:tcPr>
          <w:p w14:paraId="4147BD9E" w14:textId="77777777" w:rsidR="00973B86" w:rsidRPr="00E10F3C" w:rsidRDefault="00973B86" w:rsidP="008F2E47">
            <w:pPr>
              <w:rPr>
                <w:rFonts w:cs="Arial"/>
                <w:sz w:val="24"/>
                <w:szCs w:val="24"/>
              </w:rPr>
            </w:pPr>
          </w:p>
        </w:tc>
        <w:tc>
          <w:tcPr>
            <w:tcW w:w="296" w:type="dxa"/>
            <w:shd w:val="clear" w:color="auto" w:fill="auto"/>
          </w:tcPr>
          <w:p w14:paraId="78422E96" w14:textId="77777777" w:rsidR="00973B86" w:rsidRPr="00E10F3C" w:rsidRDefault="00973B86" w:rsidP="008F2E47">
            <w:pPr>
              <w:rPr>
                <w:rFonts w:cs="Arial"/>
                <w:sz w:val="24"/>
                <w:szCs w:val="24"/>
              </w:rPr>
            </w:pPr>
            <w:r w:rsidRPr="00E10F3C">
              <w:rPr>
                <w:rFonts w:cs="Arial"/>
                <w:sz w:val="24"/>
                <w:szCs w:val="24"/>
              </w:rPr>
              <w:t>-</w:t>
            </w:r>
          </w:p>
        </w:tc>
        <w:tc>
          <w:tcPr>
            <w:tcW w:w="6866" w:type="dxa"/>
            <w:shd w:val="clear" w:color="auto" w:fill="auto"/>
          </w:tcPr>
          <w:p w14:paraId="1E0228AE" w14:textId="77777777" w:rsidR="00973B86" w:rsidRPr="00E10F3C" w:rsidRDefault="00973B86" w:rsidP="008F2E47">
            <w:pPr>
              <w:rPr>
                <w:rFonts w:cs="Arial"/>
                <w:sz w:val="24"/>
                <w:szCs w:val="24"/>
              </w:rPr>
            </w:pPr>
            <w:r>
              <w:rPr>
                <w:rFonts w:cs="Arial"/>
                <w:sz w:val="24"/>
                <w:szCs w:val="24"/>
              </w:rPr>
              <w:t>ctinsley@mansfield.gov.uk</w:t>
            </w:r>
          </w:p>
        </w:tc>
      </w:tr>
    </w:tbl>
    <w:p w14:paraId="3ADFF055" w14:textId="77777777" w:rsidR="00973B86" w:rsidRPr="00E10F3C" w:rsidRDefault="00973B86" w:rsidP="00A648BF">
      <w:pPr>
        <w:ind w:left="720" w:hanging="720"/>
        <w:rPr>
          <w:sz w:val="24"/>
          <w:szCs w:val="24"/>
        </w:rPr>
      </w:pPr>
    </w:p>
    <w:p w14:paraId="3C13B962" w14:textId="77777777" w:rsidR="00A648BF" w:rsidRPr="00E10F3C" w:rsidRDefault="00A648BF" w:rsidP="00A648BF">
      <w:pPr>
        <w:rPr>
          <w:rFonts w:cs="Arial"/>
          <w:sz w:val="24"/>
          <w:szCs w:val="24"/>
        </w:rPr>
      </w:pPr>
    </w:p>
    <w:sectPr w:rsidR="00A648BF" w:rsidRPr="00E10F3C" w:rsidSect="00385A2B">
      <w:pgSz w:w="11906" w:h="16838" w:code="9"/>
      <w:pgMar w:top="851" w:right="1440" w:bottom="108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33B"/>
    <w:multiLevelType w:val="hybridMultilevel"/>
    <w:tmpl w:val="7FD0C49A"/>
    <w:lvl w:ilvl="0" w:tplc="6B82E0CC">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25F61"/>
    <w:multiLevelType w:val="hybridMultilevel"/>
    <w:tmpl w:val="780E1C22"/>
    <w:lvl w:ilvl="0" w:tplc="A0B0326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A734071"/>
    <w:multiLevelType w:val="hybridMultilevel"/>
    <w:tmpl w:val="E4D8F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5C14BA"/>
    <w:multiLevelType w:val="hybridMultilevel"/>
    <w:tmpl w:val="552CEDF0"/>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111BAB"/>
    <w:multiLevelType w:val="multilevel"/>
    <w:tmpl w:val="4B6E40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E46AED"/>
    <w:multiLevelType w:val="hybridMultilevel"/>
    <w:tmpl w:val="C31C8798"/>
    <w:lvl w:ilvl="0" w:tplc="3F147396">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67963404"/>
    <w:multiLevelType w:val="multilevel"/>
    <w:tmpl w:val="F18AB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397F2C"/>
    <w:multiLevelType w:val="multilevel"/>
    <w:tmpl w:val="40C40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C33101"/>
    <w:multiLevelType w:val="hybridMultilevel"/>
    <w:tmpl w:val="E66E8D26"/>
    <w:lvl w:ilvl="0" w:tplc="6B82E0CC">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7A24268"/>
    <w:multiLevelType w:val="multilevel"/>
    <w:tmpl w:val="40C40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4F4FE1"/>
    <w:multiLevelType w:val="multilevel"/>
    <w:tmpl w:val="5358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8"/>
  </w:num>
  <w:num w:numId="4">
    <w:abstractNumId w:val="0"/>
  </w:num>
  <w:num w:numId="5">
    <w:abstractNumId w:val="6"/>
  </w:num>
  <w:num w:numId="6">
    <w:abstractNumId w:val="10"/>
  </w:num>
  <w:num w:numId="7">
    <w:abstractNumId w:val="3"/>
  </w:num>
  <w:num w:numId="8">
    <w:abstractNumId w:val="7"/>
  </w:num>
  <w:num w:numId="9">
    <w:abstractNumId w:val="2"/>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BF"/>
    <w:rsid w:val="00006633"/>
    <w:rsid w:val="00032C7E"/>
    <w:rsid w:val="000519A9"/>
    <w:rsid w:val="00051CC6"/>
    <w:rsid w:val="0005367C"/>
    <w:rsid w:val="00056230"/>
    <w:rsid w:val="00095777"/>
    <w:rsid w:val="000E1E81"/>
    <w:rsid w:val="0011745E"/>
    <w:rsid w:val="00130A87"/>
    <w:rsid w:val="00144750"/>
    <w:rsid w:val="00150956"/>
    <w:rsid w:val="001A781C"/>
    <w:rsid w:val="001F5317"/>
    <w:rsid w:val="0022302F"/>
    <w:rsid w:val="00240E95"/>
    <w:rsid w:val="00263DF6"/>
    <w:rsid w:val="00271402"/>
    <w:rsid w:val="002D4864"/>
    <w:rsid w:val="002F0096"/>
    <w:rsid w:val="00385A2B"/>
    <w:rsid w:val="003C60E6"/>
    <w:rsid w:val="003D1C2F"/>
    <w:rsid w:val="003E21FC"/>
    <w:rsid w:val="003E3D16"/>
    <w:rsid w:val="00466FDB"/>
    <w:rsid w:val="004861FD"/>
    <w:rsid w:val="005431AB"/>
    <w:rsid w:val="005875F7"/>
    <w:rsid w:val="00593A3B"/>
    <w:rsid w:val="00633EF3"/>
    <w:rsid w:val="006378B5"/>
    <w:rsid w:val="006C3B6E"/>
    <w:rsid w:val="0072116C"/>
    <w:rsid w:val="0072223C"/>
    <w:rsid w:val="007302C9"/>
    <w:rsid w:val="00751EC9"/>
    <w:rsid w:val="00760468"/>
    <w:rsid w:val="007724F4"/>
    <w:rsid w:val="007918F2"/>
    <w:rsid w:val="007C22DF"/>
    <w:rsid w:val="007E1303"/>
    <w:rsid w:val="00847364"/>
    <w:rsid w:val="00862507"/>
    <w:rsid w:val="00892467"/>
    <w:rsid w:val="008E3BEF"/>
    <w:rsid w:val="008E4D0B"/>
    <w:rsid w:val="00973B86"/>
    <w:rsid w:val="00982B40"/>
    <w:rsid w:val="009932A4"/>
    <w:rsid w:val="00A27DA4"/>
    <w:rsid w:val="00A405CA"/>
    <w:rsid w:val="00A648BF"/>
    <w:rsid w:val="00A66D4A"/>
    <w:rsid w:val="00A8325A"/>
    <w:rsid w:val="00AB1DCD"/>
    <w:rsid w:val="00AC1034"/>
    <w:rsid w:val="00AE596C"/>
    <w:rsid w:val="00B20B95"/>
    <w:rsid w:val="00B64E75"/>
    <w:rsid w:val="00B80A6D"/>
    <w:rsid w:val="00BB1235"/>
    <w:rsid w:val="00BE07A9"/>
    <w:rsid w:val="00BF7F55"/>
    <w:rsid w:val="00C04772"/>
    <w:rsid w:val="00C86076"/>
    <w:rsid w:val="00CC373A"/>
    <w:rsid w:val="00CC7C7B"/>
    <w:rsid w:val="00CF21AD"/>
    <w:rsid w:val="00D21682"/>
    <w:rsid w:val="00D5402F"/>
    <w:rsid w:val="00D56054"/>
    <w:rsid w:val="00D67D04"/>
    <w:rsid w:val="00DD3EE1"/>
    <w:rsid w:val="00DE49F0"/>
    <w:rsid w:val="00DF1037"/>
    <w:rsid w:val="00E13F65"/>
    <w:rsid w:val="00E23014"/>
    <w:rsid w:val="00E262A4"/>
    <w:rsid w:val="00E30624"/>
    <w:rsid w:val="00E61E71"/>
    <w:rsid w:val="00E909C8"/>
    <w:rsid w:val="00F21F45"/>
    <w:rsid w:val="00F66764"/>
    <w:rsid w:val="00F83D1A"/>
    <w:rsid w:val="00FB1228"/>
    <w:rsid w:val="00FC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0644"/>
  <w15:chartTrackingRefBased/>
  <w15:docId w15:val="{66D0B5E9-0CB5-4032-B26C-75C77CD0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8BF"/>
    <w:pPr>
      <w:spacing w:after="0" w:line="240" w:lineRule="auto"/>
      <w:jc w:val="both"/>
    </w:pPr>
    <w:rPr>
      <w:rFonts w:ascii="Arial" w:eastAsia="Times New Roman" w:hAnsi="Arial" w:cs="Times New Roman"/>
      <w:lang w:eastAsia="en-GB"/>
    </w:rPr>
  </w:style>
  <w:style w:type="paragraph" w:styleId="Heading4">
    <w:name w:val="heading 4"/>
    <w:basedOn w:val="Normal"/>
    <w:next w:val="Normal"/>
    <w:link w:val="Heading4Char"/>
    <w:semiHidden/>
    <w:unhideWhenUsed/>
    <w:qFormat/>
    <w:rsid w:val="00CF21AD"/>
    <w:pPr>
      <w:keepNext/>
      <w:tabs>
        <w:tab w:val="num" w:pos="720"/>
      </w:tabs>
      <w:ind w:left="720" w:hanging="720"/>
      <w:jc w:val="left"/>
      <w:outlineLvl w:val="3"/>
    </w:pPr>
    <w:rPr>
      <w:rFonts w:ascii="Times New Roman" w:hAnsi="Times New Roman"/>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8BF"/>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A648BF"/>
    <w:rPr>
      <w:sz w:val="16"/>
      <w:szCs w:val="16"/>
    </w:rPr>
  </w:style>
  <w:style w:type="paragraph" w:styleId="CommentText">
    <w:name w:val="annotation text"/>
    <w:basedOn w:val="Normal"/>
    <w:link w:val="CommentTextChar"/>
    <w:uiPriority w:val="99"/>
    <w:semiHidden/>
    <w:unhideWhenUsed/>
    <w:rsid w:val="00A648BF"/>
    <w:rPr>
      <w:sz w:val="20"/>
      <w:szCs w:val="20"/>
    </w:rPr>
  </w:style>
  <w:style w:type="character" w:customStyle="1" w:styleId="CommentTextChar">
    <w:name w:val="Comment Text Char"/>
    <w:basedOn w:val="DefaultParagraphFont"/>
    <w:link w:val="CommentText"/>
    <w:uiPriority w:val="99"/>
    <w:semiHidden/>
    <w:rsid w:val="00A648B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648BF"/>
    <w:rPr>
      <w:b/>
      <w:bCs/>
    </w:rPr>
  </w:style>
  <w:style w:type="character" w:customStyle="1" w:styleId="CommentSubjectChar">
    <w:name w:val="Comment Subject Char"/>
    <w:basedOn w:val="CommentTextChar"/>
    <w:link w:val="CommentSubject"/>
    <w:uiPriority w:val="99"/>
    <w:semiHidden/>
    <w:rsid w:val="00A648BF"/>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A64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8BF"/>
    <w:rPr>
      <w:rFonts w:ascii="Segoe UI" w:eastAsia="Times New Roman" w:hAnsi="Segoe UI" w:cs="Segoe UI"/>
      <w:sz w:val="18"/>
      <w:szCs w:val="18"/>
      <w:lang w:eastAsia="en-GB"/>
    </w:rPr>
  </w:style>
  <w:style w:type="paragraph" w:styleId="ListParagraph">
    <w:name w:val="List Paragraph"/>
    <w:basedOn w:val="Normal"/>
    <w:uiPriority w:val="34"/>
    <w:qFormat/>
    <w:rsid w:val="004861FD"/>
    <w:pPr>
      <w:ind w:left="720"/>
      <w:contextualSpacing/>
    </w:pPr>
  </w:style>
  <w:style w:type="character" w:customStyle="1" w:styleId="Heading4Char">
    <w:name w:val="Heading 4 Char"/>
    <w:basedOn w:val="DefaultParagraphFont"/>
    <w:link w:val="Heading4"/>
    <w:semiHidden/>
    <w:rsid w:val="00CF21AD"/>
    <w:rPr>
      <w:rFonts w:ascii="Times New Roman" w:eastAsia="Times New Roman" w:hAnsi="Times New Roman" w:cs="Times New Roman"/>
      <w:sz w:val="24"/>
      <w:szCs w:val="20"/>
      <w:u w:val="single"/>
    </w:rPr>
  </w:style>
  <w:style w:type="paragraph" w:styleId="BodyTextIndent">
    <w:name w:val="Body Text Indent"/>
    <w:basedOn w:val="Normal"/>
    <w:link w:val="BodyTextIndentChar"/>
    <w:semiHidden/>
    <w:unhideWhenUsed/>
    <w:rsid w:val="00CF21AD"/>
    <w:pPr>
      <w:ind w:left="720"/>
      <w:jc w:val="left"/>
    </w:pPr>
    <w:rPr>
      <w:rFonts w:ascii="Times New Roman" w:hAnsi="Times New Roman"/>
      <w:sz w:val="24"/>
      <w:szCs w:val="20"/>
      <w:lang w:eastAsia="en-US"/>
    </w:rPr>
  </w:style>
  <w:style w:type="character" w:customStyle="1" w:styleId="BodyTextIndentChar">
    <w:name w:val="Body Text Indent Char"/>
    <w:basedOn w:val="DefaultParagraphFont"/>
    <w:link w:val="BodyTextIndent"/>
    <w:semiHidden/>
    <w:rsid w:val="00CF21A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5918">
      <w:bodyDiv w:val="1"/>
      <w:marLeft w:val="0"/>
      <w:marRight w:val="0"/>
      <w:marTop w:val="0"/>
      <w:marBottom w:val="0"/>
      <w:divBdr>
        <w:top w:val="none" w:sz="0" w:space="0" w:color="auto"/>
        <w:left w:val="none" w:sz="0" w:space="0" w:color="auto"/>
        <w:bottom w:val="none" w:sz="0" w:space="0" w:color="auto"/>
        <w:right w:val="none" w:sz="0" w:space="0" w:color="auto"/>
      </w:divBdr>
    </w:div>
    <w:div w:id="773790315">
      <w:bodyDiv w:val="1"/>
      <w:marLeft w:val="0"/>
      <w:marRight w:val="0"/>
      <w:marTop w:val="0"/>
      <w:marBottom w:val="0"/>
      <w:divBdr>
        <w:top w:val="none" w:sz="0" w:space="0" w:color="auto"/>
        <w:left w:val="none" w:sz="0" w:space="0" w:color="auto"/>
        <w:bottom w:val="none" w:sz="0" w:space="0" w:color="auto"/>
        <w:right w:val="none" w:sz="0" w:space="0" w:color="auto"/>
      </w:divBdr>
    </w:div>
    <w:div w:id="1299340451">
      <w:bodyDiv w:val="1"/>
      <w:marLeft w:val="0"/>
      <w:marRight w:val="0"/>
      <w:marTop w:val="0"/>
      <w:marBottom w:val="0"/>
      <w:divBdr>
        <w:top w:val="none" w:sz="0" w:space="0" w:color="auto"/>
        <w:left w:val="none" w:sz="0" w:space="0" w:color="auto"/>
        <w:bottom w:val="none" w:sz="0" w:space="0" w:color="auto"/>
        <w:right w:val="none" w:sz="0" w:space="0" w:color="auto"/>
      </w:divBdr>
    </w:div>
    <w:div w:id="13370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2420</Words>
  <Characters>13800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Gregorczyk</dc:creator>
  <cp:keywords/>
  <dc:description/>
  <cp:lastModifiedBy>Gabriella Wright</cp:lastModifiedBy>
  <cp:revision>2</cp:revision>
  <dcterms:created xsi:type="dcterms:W3CDTF">2022-03-23T08:50:00Z</dcterms:created>
  <dcterms:modified xsi:type="dcterms:W3CDTF">2022-03-23T08:50:00Z</dcterms:modified>
</cp:coreProperties>
</file>